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A0" w:rsidRDefault="00F15D55">
      <w:pPr>
        <w:jc w:val="center"/>
        <w:rPr>
          <w:b/>
          <w:bCs/>
          <w:sz w:val="32"/>
          <w:szCs w:val="32"/>
        </w:rPr>
      </w:pPr>
      <w:bookmarkStart w:id="0" w:name="_GoBack"/>
      <w:bookmarkEnd w:id="0"/>
      <w:r>
        <w:rPr>
          <w:b/>
          <w:bCs/>
          <w:color w:val="FF0000"/>
          <w:sz w:val="32"/>
          <w:szCs w:val="32"/>
          <w:u w:val="single" w:color="FF0000"/>
        </w:rPr>
        <w:t xml:space="preserve">  *  *  </w:t>
      </w:r>
      <w:r>
        <w:rPr>
          <w:rFonts w:ascii="宋体" w:eastAsia="宋体" w:hAnsi="宋体" w:cs="宋体"/>
          <w:b/>
          <w:bCs/>
          <w:sz w:val="32"/>
          <w:szCs w:val="32"/>
          <w:lang w:val="zh-TW" w:eastAsia="zh-TW"/>
        </w:rPr>
        <w:t>课程教学大纲</w:t>
      </w:r>
    </w:p>
    <w:p w:rsidR="00603CA0" w:rsidRDefault="00F15D55">
      <w:pPr>
        <w:jc w:val="center"/>
        <w:rPr>
          <w:sz w:val="32"/>
          <w:szCs w:val="32"/>
        </w:rPr>
      </w:pPr>
      <w:r>
        <w:rPr>
          <w:sz w:val="32"/>
          <w:szCs w:val="32"/>
        </w:rPr>
        <w:t>Course Outline</w:t>
      </w:r>
    </w:p>
    <w:tbl>
      <w:tblPr>
        <w:tblStyle w:val="TableNormal"/>
        <w:tblW w:w="82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010"/>
        <w:gridCol w:w="1056"/>
        <w:gridCol w:w="1266"/>
        <w:gridCol w:w="1234"/>
        <w:gridCol w:w="516"/>
        <w:gridCol w:w="786"/>
        <w:gridCol w:w="1423"/>
      </w:tblGrid>
      <w:tr w:rsidR="00603CA0">
        <w:tblPrEx>
          <w:tblCellMar>
            <w:top w:w="0" w:type="dxa"/>
            <w:left w:w="0" w:type="dxa"/>
            <w:bottom w:w="0" w:type="dxa"/>
            <w:right w:w="0" w:type="dxa"/>
          </w:tblCellMar>
        </w:tblPrEx>
        <w:trPr>
          <w:trHeight w:val="454"/>
          <w:jc w:val="center"/>
        </w:trPr>
        <w:tc>
          <w:tcPr>
            <w:tcW w:w="8291"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03CA0" w:rsidRDefault="00F15D55">
            <w:pPr>
              <w:jc w:val="left"/>
            </w:pPr>
            <w:r>
              <w:rPr>
                <w:rFonts w:ascii="宋体" w:eastAsia="宋体" w:hAnsi="宋体" w:cs="宋体"/>
                <w:lang w:val="zh-TW" w:eastAsia="zh-TW"/>
              </w:rPr>
              <w:t>课程基本信息（</w:t>
            </w:r>
            <w:r>
              <w:t>Course Information</w:t>
            </w:r>
            <w:r>
              <w:rPr>
                <w:rFonts w:ascii="宋体" w:eastAsia="宋体" w:hAnsi="宋体" w:cs="宋体"/>
                <w:lang w:val="zh-TW" w:eastAsia="zh-TW"/>
              </w:rPr>
              <w:t>）</w:t>
            </w:r>
          </w:p>
        </w:tc>
      </w:tr>
      <w:tr w:rsidR="00603CA0">
        <w:tblPrEx>
          <w:tblCellMar>
            <w:top w:w="0" w:type="dxa"/>
            <w:left w:w="0" w:type="dxa"/>
            <w:bottom w:w="0" w:type="dxa"/>
            <w:right w:w="0" w:type="dxa"/>
          </w:tblCellMar>
        </w:tblPrEx>
        <w:trPr>
          <w:trHeight w:val="91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课程代码</w:t>
            </w:r>
          </w:p>
          <w:p w:rsidR="00603CA0" w:rsidRDefault="00F15D55">
            <w:pPr>
              <w:jc w:val="center"/>
            </w:pPr>
            <w:r>
              <w:rPr>
                <w:rFonts w:ascii="宋体" w:eastAsia="宋体" w:hAnsi="宋体" w:cs="宋体"/>
                <w:lang w:val="zh-TW" w:eastAsia="zh-TW"/>
              </w:rPr>
              <w:t>（</w:t>
            </w:r>
            <w:r>
              <w:t>Course Code</w:t>
            </w:r>
            <w:r>
              <w:rPr>
                <w:rFonts w:ascii="宋体" w:eastAsia="宋体" w:hAnsi="宋体" w:cs="宋体"/>
                <w:lang w:val="zh-TW" w:eastAsia="zh-TW"/>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r>
              <w:t>CS228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t>*</w:t>
            </w:r>
            <w:r>
              <w:rPr>
                <w:rFonts w:ascii="宋体" w:eastAsia="宋体" w:hAnsi="宋体" w:cs="宋体"/>
                <w:lang w:val="zh-TW" w:eastAsia="zh-TW"/>
              </w:rPr>
              <w:t>学时</w:t>
            </w:r>
          </w:p>
          <w:p w:rsidR="00603CA0" w:rsidRDefault="00F15D55">
            <w:pPr>
              <w:jc w:val="center"/>
            </w:pPr>
            <w:r>
              <w:rPr>
                <w:rFonts w:ascii="宋体" w:eastAsia="宋体" w:hAnsi="宋体" w:cs="宋体"/>
                <w:lang w:val="zh-TW" w:eastAsia="zh-TW"/>
              </w:rPr>
              <w:t>（</w:t>
            </w:r>
            <w:r>
              <w:t>Credit Hours</w:t>
            </w:r>
            <w:r>
              <w:rPr>
                <w:rFonts w:ascii="宋体" w:eastAsia="宋体" w:hAnsi="宋体" w:cs="宋体"/>
                <w:lang w:val="zh-TW" w:eastAsia="zh-TW"/>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t>32</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t>*</w:t>
            </w:r>
            <w:r>
              <w:rPr>
                <w:rFonts w:ascii="宋体" w:eastAsia="宋体" w:hAnsi="宋体" w:cs="宋体"/>
                <w:lang w:val="zh-TW" w:eastAsia="zh-TW"/>
              </w:rPr>
              <w:t>学分</w:t>
            </w:r>
          </w:p>
          <w:p w:rsidR="00603CA0" w:rsidRDefault="00F15D55">
            <w:pPr>
              <w:jc w:val="center"/>
            </w:pPr>
            <w:r>
              <w:rPr>
                <w:rFonts w:ascii="宋体" w:eastAsia="宋体" w:hAnsi="宋体" w:cs="宋体"/>
                <w:lang w:val="zh-TW" w:eastAsia="zh-TW"/>
              </w:rPr>
              <w:t>（</w:t>
            </w:r>
            <w:r>
              <w:t>Credits</w:t>
            </w:r>
            <w:r>
              <w:rPr>
                <w:rFonts w:ascii="宋体" w:eastAsia="宋体" w:hAnsi="宋体" w:cs="宋体"/>
                <w:lang w:val="zh-TW" w:eastAsia="zh-TW"/>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r>
              <w:rPr>
                <w:color w:val="00B050"/>
                <w:u w:color="00B050"/>
              </w:rPr>
              <w:t>2</w:t>
            </w:r>
          </w:p>
        </w:tc>
      </w:tr>
      <w:tr w:rsidR="00603CA0">
        <w:tblPrEx>
          <w:tblCellMar>
            <w:top w:w="0" w:type="dxa"/>
            <w:left w:w="0" w:type="dxa"/>
            <w:bottom w:w="0" w:type="dxa"/>
            <w:right w:w="0" w:type="dxa"/>
          </w:tblCellMar>
        </w:tblPrEx>
        <w:trPr>
          <w:trHeight w:val="310"/>
          <w:jc w:val="center"/>
        </w:trPr>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t>*</w:t>
            </w:r>
            <w:r>
              <w:rPr>
                <w:rFonts w:ascii="宋体" w:eastAsia="宋体" w:hAnsi="宋体" w:cs="宋体"/>
                <w:lang w:val="zh-TW" w:eastAsia="zh-TW"/>
              </w:rPr>
              <w:t>课程名称</w:t>
            </w:r>
          </w:p>
          <w:p w:rsidR="00603CA0" w:rsidRDefault="00F15D55">
            <w:pPr>
              <w:jc w:val="center"/>
            </w:pPr>
            <w:r>
              <w:rPr>
                <w:rFonts w:ascii="宋体" w:eastAsia="宋体" w:hAnsi="宋体" w:cs="宋体"/>
                <w:lang w:val="zh-TW" w:eastAsia="zh-TW"/>
              </w:rPr>
              <w:t>（</w:t>
            </w:r>
            <w:r>
              <w:t>Course Title</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pStyle w:val="BodyA"/>
              <w:ind w:firstLine="2249"/>
              <w:rPr>
                <w:rFonts w:hint="default"/>
              </w:rPr>
            </w:pPr>
            <w:r>
              <w:rPr>
                <w:rFonts w:eastAsia="Kaiti SC Black"/>
              </w:rPr>
              <w:t>互联网协议</w:t>
            </w:r>
            <w:r>
              <w:t>中</w:t>
            </w:r>
            <w:r>
              <w:rPr>
                <w:rFonts w:eastAsia="Kaiti SC Black"/>
              </w:rPr>
              <w:t>博弈分析</w:t>
            </w:r>
          </w:p>
        </w:tc>
      </w:tr>
      <w:tr w:rsidR="00603CA0">
        <w:tblPrEx>
          <w:tblCellMar>
            <w:top w:w="0" w:type="dxa"/>
            <w:left w:w="0" w:type="dxa"/>
            <w:bottom w:w="0" w:type="dxa"/>
            <w:right w:w="0" w:type="dxa"/>
          </w:tblCellMar>
        </w:tblPrEx>
        <w:trPr>
          <w:trHeight w:val="251"/>
          <w:jc w:val="center"/>
        </w:trPr>
        <w:tc>
          <w:tcPr>
            <w:tcW w:w="2010" w:type="dxa"/>
            <w:vMerge/>
            <w:tcBorders>
              <w:top w:val="single" w:sz="4" w:space="0" w:color="000000"/>
              <w:left w:val="single" w:sz="4" w:space="0" w:color="000000"/>
              <w:bottom w:val="single" w:sz="4" w:space="0" w:color="000000"/>
              <w:right w:val="single" w:sz="4" w:space="0" w:color="000000"/>
            </w:tcBorders>
            <w:shd w:val="clear" w:color="auto" w:fill="auto"/>
          </w:tcPr>
          <w:p w:rsidR="00603CA0" w:rsidRDefault="00603CA0"/>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pStyle w:val="BodyA"/>
              <w:jc w:val="center"/>
              <w:rPr>
                <w:rFonts w:hint="default"/>
              </w:rPr>
            </w:pPr>
            <w:r>
              <w:rPr>
                <w:rFonts w:ascii="Times New Roman" w:hAnsi="Times New Roman"/>
                <w:sz w:val="20"/>
                <w:szCs w:val="20"/>
                <w:shd w:val="clear" w:color="auto" w:fill="FFFF00"/>
                <w:lang w:val="en-US"/>
              </w:rPr>
              <w:t>Game Theoretical Methodology and Technique for Internet Protocols</w:t>
            </w:r>
          </w:p>
        </w:tc>
      </w:tr>
      <w:tr w:rsidR="00603CA0">
        <w:tblPrEx>
          <w:tblCellMar>
            <w:top w:w="0" w:type="dxa"/>
            <w:left w:w="0" w:type="dxa"/>
            <w:bottom w:w="0" w:type="dxa"/>
            <w:right w:w="0" w:type="dxa"/>
          </w:tblCellMar>
        </w:tblPrEx>
        <w:trPr>
          <w:trHeight w:val="61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t>*</w:t>
            </w:r>
            <w:r>
              <w:rPr>
                <w:rFonts w:ascii="宋体" w:eastAsia="宋体" w:hAnsi="宋体" w:cs="宋体"/>
                <w:lang w:val="zh-TW" w:eastAsia="zh-TW"/>
              </w:rPr>
              <w:t>课程性质</w:t>
            </w:r>
          </w:p>
          <w:p w:rsidR="00603CA0" w:rsidRDefault="00F15D55">
            <w:pPr>
              <w:jc w:val="center"/>
            </w:pPr>
            <w:r>
              <w:rPr>
                <w:rFonts w:ascii="宋体" w:eastAsia="宋体" w:hAnsi="宋体" w:cs="宋体"/>
                <w:lang w:val="zh-TW" w:eastAsia="zh-TW"/>
              </w:rPr>
              <w:t>（</w:t>
            </w:r>
            <w:r>
              <w:t>Course Type</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00B050"/>
                <w:u w:color="00B050"/>
              </w:rPr>
              <w:t>讲授课程</w:t>
            </w:r>
          </w:p>
        </w:tc>
      </w:tr>
      <w:tr w:rsidR="00603CA0">
        <w:tblPrEx>
          <w:tblCellMar>
            <w:top w:w="0" w:type="dxa"/>
            <w:left w:w="0" w:type="dxa"/>
            <w:bottom w:w="0" w:type="dxa"/>
            <w:right w:w="0" w:type="dxa"/>
          </w:tblCellMar>
        </w:tblPrEx>
        <w:trPr>
          <w:trHeight w:val="91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授课对象</w:t>
            </w:r>
          </w:p>
          <w:p w:rsidR="00603CA0" w:rsidRDefault="00F15D55">
            <w:pPr>
              <w:jc w:val="center"/>
            </w:pPr>
            <w:r>
              <w:rPr>
                <w:rFonts w:ascii="宋体" w:eastAsia="宋体" w:hAnsi="宋体" w:cs="宋体"/>
                <w:lang w:val="zh-TW" w:eastAsia="zh-TW"/>
              </w:rPr>
              <w:t>（</w:t>
            </w:r>
            <w:r>
              <w:t>Target Audience</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left"/>
            </w:pPr>
            <w:r>
              <w:t>致远学院</w:t>
            </w:r>
            <w:r>
              <w:t>ACM</w:t>
            </w:r>
            <w:r>
              <w:t>班</w:t>
            </w:r>
          </w:p>
        </w:tc>
      </w:tr>
      <w:tr w:rsidR="00603CA0">
        <w:tblPrEx>
          <w:tblCellMar>
            <w:top w:w="0" w:type="dxa"/>
            <w:left w:w="0" w:type="dxa"/>
            <w:bottom w:w="0" w:type="dxa"/>
            <w:right w:w="0" w:type="dxa"/>
          </w:tblCellMar>
        </w:tblPrEx>
        <w:trPr>
          <w:trHeight w:val="79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t>*</w:t>
            </w:r>
            <w:r>
              <w:rPr>
                <w:rFonts w:ascii="宋体" w:eastAsia="宋体" w:hAnsi="宋体" w:cs="宋体"/>
                <w:lang w:val="zh-TW" w:eastAsia="zh-TW"/>
              </w:rPr>
              <w:t>授课语言</w:t>
            </w:r>
          </w:p>
          <w:p w:rsidR="00603CA0" w:rsidRDefault="00F15D55">
            <w:pPr>
              <w:jc w:val="left"/>
            </w:pPr>
            <w:r>
              <w:t>(Language of Instruction)</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left"/>
            </w:pPr>
            <w:r>
              <w:t>中英文双语</w:t>
            </w:r>
          </w:p>
        </w:tc>
      </w:tr>
      <w:tr w:rsidR="00603CA0">
        <w:tblPrEx>
          <w:tblCellMar>
            <w:top w:w="0" w:type="dxa"/>
            <w:left w:w="0" w:type="dxa"/>
            <w:bottom w:w="0" w:type="dxa"/>
            <w:right w:w="0" w:type="dxa"/>
          </w:tblCellMar>
        </w:tblPrEx>
        <w:trPr>
          <w:trHeight w:val="61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t>*</w:t>
            </w:r>
            <w:r>
              <w:rPr>
                <w:rFonts w:ascii="宋体" w:eastAsia="宋体" w:hAnsi="宋体" w:cs="宋体"/>
                <w:lang w:val="zh-TW" w:eastAsia="zh-TW"/>
              </w:rPr>
              <w:t>开课院系</w:t>
            </w:r>
          </w:p>
          <w:p w:rsidR="00603CA0" w:rsidRDefault="00F15D55">
            <w:pPr>
              <w:jc w:val="center"/>
            </w:pPr>
            <w:r>
              <w:rPr>
                <w:rFonts w:ascii="宋体" w:eastAsia="宋体" w:hAnsi="宋体" w:cs="宋体"/>
                <w:lang w:val="zh-TW" w:eastAsia="zh-TW"/>
              </w:rPr>
              <w:t>（</w:t>
            </w:r>
            <w:r>
              <w:t>School</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t>致远学院</w:t>
            </w:r>
          </w:p>
        </w:tc>
      </w:tr>
      <w:tr w:rsidR="00603CA0">
        <w:tblPrEx>
          <w:tblCellMar>
            <w:top w:w="0" w:type="dxa"/>
            <w:left w:w="0" w:type="dxa"/>
            <w:bottom w:w="0" w:type="dxa"/>
            <w:right w:w="0" w:type="dxa"/>
          </w:tblCellMar>
        </w:tblPrEx>
        <w:trPr>
          <w:trHeight w:val="61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先修课程</w:t>
            </w:r>
          </w:p>
          <w:p w:rsidR="00603CA0" w:rsidRDefault="00F15D55">
            <w:pPr>
              <w:jc w:val="center"/>
            </w:pPr>
            <w:r>
              <w:rPr>
                <w:rFonts w:ascii="宋体" w:eastAsia="宋体" w:hAnsi="宋体" w:cs="宋体"/>
                <w:lang w:val="zh-TW" w:eastAsia="zh-TW"/>
              </w:rPr>
              <w:t>（</w:t>
            </w:r>
            <w:r>
              <w:t>Prerequisite</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603CA0"/>
        </w:tc>
      </w:tr>
      <w:tr w:rsidR="00603CA0">
        <w:tblPrEx>
          <w:tblCellMar>
            <w:top w:w="0" w:type="dxa"/>
            <w:left w:w="0" w:type="dxa"/>
            <w:bottom w:w="0" w:type="dxa"/>
            <w:right w:w="0" w:type="dxa"/>
          </w:tblCellMar>
        </w:tblPrEx>
        <w:trPr>
          <w:trHeight w:val="79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授课教师</w:t>
            </w:r>
          </w:p>
          <w:p w:rsidR="00603CA0" w:rsidRDefault="00F15D55">
            <w:pPr>
              <w:jc w:val="center"/>
            </w:pPr>
            <w:r>
              <w:rPr>
                <w:rFonts w:ascii="宋体" w:eastAsia="宋体" w:hAnsi="宋体" w:cs="宋体"/>
                <w:lang w:val="zh-TW" w:eastAsia="zh-TW"/>
              </w:rPr>
              <w:t>（</w:t>
            </w:r>
            <w:r>
              <w:t>Instructor</w:t>
            </w:r>
            <w:r>
              <w:rPr>
                <w:rFonts w:ascii="宋体" w:eastAsia="宋体" w:hAnsi="宋体" w:cs="宋体"/>
                <w:lang w:val="zh-TW" w:eastAsia="zh-TW"/>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t>邓小铁</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课程网址</w:t>
            </w:r>
          </w:p>
          <w:p w:rsidR="00603CA0" w:rsidRDefault="00F15D55">
            <w:pPr>
              <w:jc w:val="center"/>
            </w:pPr>
            <w:r>
              <w:t>(Course Webpage)</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603CA0"/>
        </w:tc>
      </w:tr>
      <w:tr w:rsidR="00603CA0">
        <w:tblPrEx>
          <w:tblCellMar>
            <w:top w:w="0" w:type="dxa"/>
            <w:left w:w="0" w:type="dxa"/>
            <w:bottom w:w="0" w:type="dxa"/>
            <w:right w:w="0" w:type="dxa"/>
          </w:tblCellMar>
        </w:tblPrEx>
        <w:trPr>
          <w:trHeight w:val="7379"/>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lastRenderedPageBreak/>
              <w:t>*</w:t>
            </w:r>
            <w:r>
              <w:rPr>
                <w:rFonts w:ascii="宋体" w:eastAsia="宋体" w:hAnsi="宋体" w:cs="宋体"/>
                <w:lang w:val="zh-TW" w:eastAsia="zh-TW"/>
              </w:rPr>
              <w:t>课程简介（</w:t>
            </w:r>
            <w:r>
              <w:t>Description</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pStyle w:val="Body"/>
              <w:widowControl w:val="0"/>
              <w:ind w:firstLine="420"/>
              <w:jc w:val="both"/>
              <w:rPr>
                <w:rFonts w:ascii="Times New Roman" w:eastAsia="Times New Roman" w:hAnsi="Times New Roman" w:cs="Times New Roman" w:hint="default"/>
                <w:kern w:val="2"/>
                <w:sz w:val="21"/>
                <w:szCs w:val="21"/>
                <w:u w:color="000000"/>
              </w:rPr>
            </w:pPr>
            <w:r>
              <w:rPr>
                <w:rFonts w:ascii="宋体" w:eastAsia="宋体" w:hAnsi="宋体" w:cs="宋体"/>
                <w:kern w:val="2"/>
                <w:sz w:val="21"/>
                <w:szCs w:val="21"/>
                <w:u w:color="000000"/>
              </w:rPr>
              <w:t>本课程讨论解决互联网和大数据系统研究中实现系统目标所倚重的协议设计和参与者行为互动分析的算法博弈论方法的基础理论、分析原理以及新兴应用课题。互联网的产生将亿万民众带到同一平台之上。对人类社会的科研产业和生活的影响广泛，有着极为突出的创新性。算法博弈论处理大数据环境下大规模参与者博弈中解决方案的概念、合作竞争、协同效益。</w:t>
            </w:r>
            <w:r>
              <w:rPr>
                <w:rFonts w:ascii="Times New Roman" w:hAnsi="Times New Roman"/>
                <w:kern w:val="2"/>
                <w:sz w:val="21"/>
                <w:szCs w:val="21"/>
                <w:u w:color="000000"/>
              </w:rPr>
              <w:t xml:space="preserve"> </w:t>
            </w:r>
            <w:r>
              <w:rPr>
                <w:rFonts w:ascii="宋体" w:eastAsia="宋体" w:hAnsi="宋体" w:cs="宋体"/>
                <w:kern w:val="2"/>
                <w:sz w:val="21"/>
                <w:szCs w:val="21"/>
                <w:u w:color="000000"/>
              </w:rPr>
              <w:t>是从事互联网科学技术工作的理工科研究生不可或缺的基本素质。</w:t>
            </w:r>
          </w:p>
          <w:p w:rsidR="00603CA0" w:rsidRDefault="00603CA0">
            <w:pPr>
              <w:pStyle w:val="Body"/>
              <w:rPr>
                <w:rFonts w:ascii="Kaiti SC Black" w:eastAsia="Kaiti SC Black" w:hAnsi="Kaiti SC Black" w:cs="Kaiti SC Black" w:hint="default"/>
                <w:sz w:val="20"/>
                <w:szCs w:val="20"/>
                <w:u w:color="000000"/>
              </w:rPr>
            </w:pPr>
          </w:p>
          <w:p w:rsidR="00603CA0" w:rsidRDefault="00F15D55">
            <w:pPr>
              <w:pStyle w:val="Body"/>
              <w:rPr>
                <w:rFonts w:ascii="Kaiti SC Black" w:eastAsia="Kaiti SC Black" w:hAnsi="Kaiti SC Black" w:cs="Kaiti SC Black" w:hint="default"/>
                <w:sz w:val="20"/>
                <w:szCs w:val="20"/>
                <w:u w:color="000000"/>
              </w:rPr>
            </w:pPr>
            <w:r>
              <w:rPr>
                <w:rFonts w:eastAsia="Arial Unicode MS"/>
                <w:sz w:val="20"/>
                <w:szCs w:val="20"/>
                <w:u w:color="000000"/>
              </w:rPr>
              <w:t>本课程将介绍算法博弈论中，具有广泛应用博弈论基本方法和基础知识。其中包括：最优拍卖、线性规划对偶性及零和</w:t>
            </w:r>
            <w:r>
              <w:rPr>
                <w:rFonts w:ascii="Times" w:hAnsi="Times"/>
                <w:sz w:val="20"/>
                <w:szCs w:val="20"/>
                <w:u w:color="000000"/>
              </w:rPr>
              <w:t xml:space="preserve"> </w:t>
            </w:r>
            <w:r>
              <w:rPr>
                <w:rFonts w:eastAsia="Arial Unicode MS"/>
                <w:sz w:val="20"/>
                <w:szCs w:val="20"/>
                <w:u w:color="000000"/>
              </w:rPr>
              <w:t>纳什均衡；</w:t>
            </w:r>
            <w:r>
              <w:rPr>
                <w:rFonts w:ascii="Times" w:hAnsi="Times"/>
                <w:sz w:val="20"/>
                <w:szCs w:val="20"/>
                <w:u w:color="000000"/>
              </w:rPr>
              <w:t xml:space="preserve"> </w:t>
            </w:r>
            <w:r>
              <w:rPr>
                <w:rFonts w:eastAsia="Arial Unicode MS"/>
                <w:sz w:val="20"/>
                <w:szCs w:val="20"/>
                <w:u w:color="000000"/>
              </w:rPr>
              <w:t>离散不动点、线性互补和纳什均衡；匹配市场、线性市场和稳定的婚姻</w:t>
            </w:r>
            <w:r>
              <w:rPr>
                <w:rFonts w:ascii="Times" w:hAnsi="Times"/>
                <w:sz w:val="20"/>
                <w:szCs w:val="20"/>
                <w:u w:color="000000"/>
              </w:rPr>
              <w:t xml:space="preserve"> </w:t>
            </w:r>
            <w:r>
              <w:rPr>
                <w:rFonts w:eastAsia="Arial Unicode MS"/>
                <w:sz w:val="20"/>
                <w:szCs w:val="20"/>
                <w:u w:color="000000"/>
              </w:rPr>
              <w:t>；合作博弈，社会选择理论和多数均衡。</w:t>
            </w:r>
          </w:p>
          <w:p w:rsidR="00603CA0" w:rsidRDefault="00603CA0">
            <w:pPr>
              <w:pStyle w:val="Body"/>
              <w:rPr>
                <w:rFonts w:ascii="Kaiti SC Black" w:eastAsia="Kaiti SC Black" w:hAnsi="Kaiti SC Black" w:cs="Kaiti SC Black" w:hint="default"/>
                <w:sz w:val="20"/>
                <w:szCs w:val="20"/>
                <w:u w:color="000000"/>
              </w:rPr>
            </w:pPr>
          </w:p>
          <w:p w:rsidR="00603CA0" w:rsidRDefault="00F15D55">
            <w:pPr>
              <w:pStyle w:val="Body"/>
              <w:rPr>
                <w:rFonts w:ascii="Times" w:eastAsia="Times" w:hAnsi="Times" w:cs="Times" w:hint="default"/>
                <w:sz w:val="20"/>
                <w:szCs w:val="20"/>
                <w:u w:color="000000"/>
              </w:rPr>
            </w:pPr>
            <w:r>
              <w:rPr>
                <w:rFonts w:eastAsia="Arial Unicode MS"/>
                <w:sz w:val="20"/>
                <w:szCs w:val="20"/>
                <w:u w:color="000000"/>
              </w:rPr>
              <w:t>我们讨论算法复杂性的分析工具，如：椭球算法，网络流分析，</w:t>
            </w:r>
            <w:r>
              <w:rPr>
                <w:rFonts w:ascii="Kaiti SC Black" w:hAnsi="Kaiti SC Black"/>
                <w:sz w:val="20"/>
                <w:szCs w:val="20"/>
                <w:u w:color="000000"/>
              </w:rPr>
              <w:t>Lemke</w:t>
            </w:r>
            <w:r>
              <w:rPr>
                <w:rFonts w:eastAsia="Arial Unicode MS"/>
                <w:sz w:val="20"/>
                <w:szCs w:val="20"/>
                <w:u w:color="000000"/>
              </w:rPr>
              <w:t>－</w:t>
            </w:r>
            <w:r>
              <w:rPr>
                <w:rFonts w:ascii="Kaiti SC Black" w:hAnsi="Kaiti SC Black"/>
                <w:sz w:val="20"/>
                <w:szCs w:val="20"/>
                <w:u w:color="000000"/>
                <w:lang w:val="en-US"/>
              </w:rPr>
              <w:t>Howson</w:t>
            </w:r>
            <w:r>
              <w:rPr>
                <w:rFonts w:eastAsia="Arial Unicode MS"/>
                <w:sz w:val="20"/>
                <w:szCs w:val="20"/>
                <w:u w:color="000000"/>
              </w:rPr>
              <w:t>算法、</w:t>
            </w:r>
            <w:r>
              <w:rPr>
                <w:rFonts w:ascii="Times" w:hAnsi="Times"/>
                <w:sz w:val="20"/>
                <w:szCs w:val="20"/>
                <w:u w:color="000000"/>
                <w:lang w:val="es-ES_tradnl"/>
              </w:rPr>
              <w:t>PPAD</w:t>
            </w:r>
            <w:r>
              <w:rPr>
                <w:rFonts w:eastAsia="Arial Unicode MS"/>
                <w:sz w:val="20"/>
                <w:szCs w:val="20"/>
                <w:u w:color="000000"/>
              </w:rPr>
              <w:t>完全性及</w:t>
            </w:r>
            <w:r>
              <w:rPr>
                <w:rFonts w:ascii="Times" w:hAnsi="Times"/>
                <w:sz w:val="20"/>
                <w:szCs w:val="20"/>
                <w:u w:color="000000"/>
              </w:rPr>
              <w:t>NP</w:t>
            </w:r>
            <w:r>
              <w:rPr>
                <w:rFonts w:eastAsia="Arial Unicode MS"/>
                <w:sz w:val="20"/>
                <w:szCs w:val="20"/>
                <w:u w:color="000000"/>
              </w:rPr>
              <w:t>完全性。我们探索应用有限的理性方法包括近似算法</w:t>
            </w:r>
            <w:r>
              <w:rPr>
                <w:rFonts w:ascii="Microsoft Tai Le" w:eastAsia="Microsoft Tai Le" w:hAnsi="Microsoft Tai Le" w:cs="Microsoft Tai Le"/>
                <w:sz w:val="20"/>
                <w:szCs w:val="20"/>
                <w:u w:color="000000"/>
              </w:rPr>
              <w:t xml:space="preserve">, </w:t>
            </w:r>
            <w:r>
              <w:rPr>
                <w:rFonts w:eastAsia="Arial Unicode MS"/>
                <w:sz w:val="20"/>
                <w:szCs w:val="20"/>
                <w:u w:color="000000"/>
              </w:rPr>
              <w:t>竞争比</w:t>
            </w:r>
            <w:r>
              <w:rPr>
                <w:rFonts w:ascii="Microsoft Tai Le" w:eastAsia="Microsoft Tai Le" w:hAnsi="Microsoft Tai Le" w:cs="Microsoft Tai Le"/>
                <w:sz w:val="20"/>
                <w:szCs w:val="20"/>
                <w:u w:color="000000"/>
              </w:rPr>
              <w:t xml:space="preserve">, </w:t>
            </w:r>
            <w:r>
              <w:rPr>
                <w:rFonts w:eastAsia="Arial Unicode MS"/>
                <w:sz w:val="20"/>
                <w:szCs w:val="20"/>
                <w:u w:color="000000"/>
              </w:rPr>
              <w:t>无政府代价和激励比。</w:t>
            </w:r>
            <w:r>
              <w:rPr>
                <w:rFonts w:ascii="Times" w:hAnsi="Times"/>
                <w:sz w:val="20"/>
                <w:szCs w:val="20"/>
                <w:u w:color="000000"/>
                <w:lang w:val="de-DE"/>
              </w:rPr>
              <w:t xml:space="preserve">  </w:t>
            </w:r>
          </w:p>
          <w:p w:rsidR="00603CA0" w:rsidRDefault="00603CA0">
            <w:pPr>
              <w:pStyle w:val="Body"/>
              <w:rPr>
                <w:rFonts w:ascii="Times" w:eastAsia="Times" w:hAnsi="Times" w:cs="Times" w:hint="default"/>
                <w:sz w:val="20"/>
                <w:szCs w:val="20"/>
                <w:u w:color="000000"/>
              </w:rPr>
            </w:pPr>
          </w:p>
          <w:p w:rsidR="00603CA0" w:rsidRDefault="00F15D55">
            <w:pPr>
              <w:pStyle w:val="Body"/>
              <w:rPr>
                <w:rFonts w:ascii="Kaiti SC Black" w:eastAsia="Kaiti SC Black" w:hAnsi="Kaiti SC Black" w:cs="Kaiti SC Black" w:hint="default"/>
                <w:sz w:val="20"/>
                <w:szCs w:val="20"/>
                <w:u w:color="000000"/>
              </w:rPr>
            </w:pPr>
            <w:r>
              <w:rPr>
                <w:rFonts w:eastAsia="Arial Unicode MS"/>
                <w:sz w:val="20"/>
                <w:szCs w:val="20"/>
                <w:u w:color="000000"/>
              </w:rPr>
              <w:t>我们研究博弈理论的实际应用，对互联网协议，我们将从以下主题选取一些讨论课题：</w:t>
            </w:r>
          </w:p>
          <w:p w:rsidR="00603CA0" w:rsidRDefault="00F15D55">
            <w:pPr>
              <w:pStyle w:val="Body"/>
              <w:rPr>
                <w:rFonts w:ascii="Microsoft Tai Le" w:eastAsia="Microsoft Tai Le" w:hAnsi="Microsoft Tai Le" w:cs="Microsoft Tai Le" w:hint="default"/>
                <w:sz w:val="20"/>
                <w:szCs w:val="20"/>
                <w:u w:color="000000"/>
              </w:rPr>
            </w:pPr>
            <w:r>
              <w:rPr>
                <w:rFonts w:eastAsia="Arial Unicode MS"/>
                <w:sz w:val="20"/>
                <w:szCs w:val="20"/>
                <w:u w:color="000000"/>
              </w:rPr>
              <w:t>点对点带宽共享，赞助搜索竞价，网络拥挤定价，众包协议设计，网络中立性，平台竞争，开放源码软件定价，数据定价，</w:t>
            </w:r>
            <w:r>
              <w:rPr>
                <w:rFonts w:ascii="Times" w:hAnsi="Times"/>
                <w:sz w:val="20"/>
                <w:szCs w:val="20"/>
                <w:u w:color="000000"/>
              </w:rPr>
              <w:t xml:space="preserve"> </w:t>
            </w:r>
            <w:r>
              <w:rPr>
                <w:rFonts w:eastAsia="Arial Unicode MS"/>
                <w:sz w:val="20"/>
                <w:szCs w:val="20"/>
                <w:u w:color="000000"/>
              </w:rPr>
              <w:t>拍卖学习，比特币和区块链分析。</w:t>
            </w:r>
          </w:p>
          <w:p w:rsidR="00603CA0" w:rsidRDefault="00603CA0">
            <w:pPr>
              <w:pStyle w:val="Body"/>
              <w:rPr>
                <w:rFonts w:ascii="Microsoft Tai Le" w:eastAsia="Microsoft Tai Le" w:hAnsi="Microsoft Tai Le" w:cs="Microsoft Tai Le" w:hint="default"/>
                <w:sz w:val="20"/>
                <w:szCs w:val="20"/>
                <w:u w:color="000000"/>
              </w:rPr>
            </w:pPr>
          </w:p>
          <w:p w:rsidR="00603CA0" w:rsidRDefault="00F15D55">
            <w:pPr>
              <w:pStyle w:val="Body"/>
              <w:rPr>
                <w:rFonts w:hint="default"/>
              </w:rPr>
            </w:pPr>
            <w:r>
              <w:rPr>
                <w:rFonts w:eastAsia="Arial Unicode MS"/>
                <w:sz w:val="20"/>
                <w:szCs w:val="20"/>
                <w:u w:color="000000"/>
              </w:rPr>
              <w:t>我们进一步将博弈论用于研究互联网协议驱动下的行为模式模型及相关概念，建立坚实理论方法之上的分析工具，</w:t>
            </w:r>
          </w:p>
        </w:tc>
      </w:tr>
      <w:tr w:rsidR="00603CA0">
        <w:tblPrEx>
          <w:tblCellMar>
            <w:top w:w="0" w:type="dxa"/>
            <w:left w:w="0" w:type="dxa"/>
            <w:bottom w:w="0" w:type="dxa"/>
            <w:right w:w="0" w:type="dxa"/>
          </w:tblCellMar>
        </w:tblPrEx>
        <w:trPr>
          <w:trHeight w:val="1049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FF0000"/>
                <w:u w:color="FF0000"/>
              </w:rPr>
              <w:lastRenderedPageBreak/>
              <w:t>*</w:t>
            </w:r>
            <w:r>
              <w:rPr>
                <w:rFonts w:ascii="宋体" w:eastAsia="宋体" w:hAnsi="宋体" w:cs="宋体"/>
                <w:lang w:val="zh-TW" w:eastAsia="zh-TW"/>
              </w:rPr>
              <w:t>课程简介（</w:t>
            </w:r>
            <w:r>
              <w:t>Description</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left"/>
            </w:pPr>
            <w:r>
              <w:rPr>
                <w:rFonts w:ascii="宋体" w:eastAsia="宋体" w:hAnsi="宋体" w:cs="宋体"/>
                <w:lang w:val="zh-TW" w:eastAsia="zh-TW"/>
              </w:rPr>
              <w:t>（</w:t>
            </w:r>
            <w:r>
              <w:t xml:space="preserve">The course will introduce basic methodology in algorithmic game theory, that are most useful for Internet protocol applications. </w:t>
            </w:r>
          </w:p>
          <w:p w:rsidR="00603CA0" w:rsidRDefault="00F15D55">
            <w:pPr>
              <w:pStyle w:val="1"/>
              <w:widowControl/>
              <w:spacing w:before="100" w:after="100"/>
              <w:jc w:val="left"/>
              <w:rPr>
                <w:rFonts w:ascii="Lucida Grande" w:eastAsia="Lucida Grande" w:hAnsi="Lucida Grande" w:cs="Lucida Grande"/>
                <w:sz w:val="24"/>
                <w:szCs w:val="24"/>
              </w:rPr>
            </w:pPr>
            <w:r>
              <w:rPr>
                <w:rFonts w:ascii="Lucida Grande" w:hAnsi="Lucida Grande"/>
                <w:sz w:val="24"/>
                <w:szCs w:val="24"/>
              </w:rPr>
              <w:t xml:space="preserve">On the basics, we introduce 1) </w:t>
            </w:r>
            <w:r>
              <w:rPr>
                <w:rFonts w:ascii="Lucida Grande" w:hAnsi="Lucida Grande"/>
                <w:sz w:val="24"/>
                <w:szCs w:val="24"/>
              </w:rPr>
              <w:t>optimal auction, linear programming duality, and zero sum games; 2) Nash equilibrium, linear complementary problem and discrete fixed points; 3) matching market, linear market and stable marriage problem; 4) Cooperative games, social choice theory and majo</w:t>
            </w:r>
            <w:r>
              <w:rPr>
                <w:rFonts w:ascii="Lucida Grande" w:hAnsi="Lucida Grande"/>
                <w:sz w:val="24"/>
                <w:szCs w:val="24"/>
              </w:rPr>
              <w:t>rity equilibriums.</w:t>
            </w:r>
          </w:p>
          <w:p w:rsidR="00603CA0" w:rsidRDefault="00F15D55">
            <w:pPr>
              <w:pStyle w:val="1"/>
              <w:widowControl/>
              <w:spacing w:before="100" w:after="100"/>
              <w:jc w:val="left"/>
              <w:rPr>
                <w:rFonts w:ascii="Lucida Grande" w:eastAsia="Lucida Grande" w:hAnsi="Lucida Grande" w:cs="Lucida Grande"/>
                <w:sz w:val="24"/>
                <w:szCs w:val="24"/>
              </w:rPr>
            </w:pPr>
            <w:r>
              <w:rPr>
                <w:rFonts w:ascii="Lucida Grande" w:hAnsi="Lucida Grande"/>
                <w:sz w:val="24"/>
                <w:szCs w:val="24"/>
              </w:rPr>
              <w:t>In algorithmic complexity issues, we discuss the use and analysis of ellipsoid algorithm, PPAD-completeness, network flow and convex programming, as well as NP-hardness. In light of negative complexity results in many of the problems, we</w:t>
            </w:r>
            <w:r>
              <w:rPr>
                <w:rFonts w:ascii="Lucida Grande" w:hAnsi="Lucida Grande"/>
                <w:sz w:val="24"/>
                <w:szCs w:val="24"/>
              </w:rPr>
              <w:t xml:space="preserve"> explore to apply bounded rationality methodologies including approximation, competitive ratio, price of anarchy and incentive ratio.   </w:t>
            </w:r>
          </w:p>
          <w:p w:rsidR="00603CA0" w:rsidRDefault="00F15D55">
            <w:pPr>
              <w:pStyle w:val="1"/>
              <w:widowControl/>
              <w:spacing w:before="100" w:after="100"/>
              <w:jc w:val="left"/>
              <w:rPr>
                <w:rFonts w:ascii="Lucida Grande" w:eastAsia="Lucida Grande" w:hAnsi="Lucida Grande" w:cs="Lucida Grande"/>
                <w:sz w:val="24"/>
                <w:szCs w:val="24"/>
              </w:rPr>
            </w:pPr>
            <w:r>
              <w:rPr>
                <w:rFonts w:ascii="Lucida Grande" w:hAnsi="Lucida Grande"/>
                <w:sz w:val="24"/>
                <w:szCs w:val="24"/>
              </w:rPr>
              <w:t>Finally we study game theoretical applications on Internet protocols. We should cover selected topics from the followin</w:t>
            </w:r>
            <w:r>
              <w:rPr>
                <w:rFonts w:ascii="Lucida Grande" w:hAnsi="Lucida Grande"/>
                <w:sz w:val="24"/>
                <w:szCs w:val="24"/>
              </w:rPr>
              <w:t>g subjects: peer-to-peer bandwidth sharing, sponsored search auction, network congestion pricing, crowdsourcing protocol design, network neutrality, platform competition, open source software pricing, data pricing, auction learning, Bitcoin and block chain</w:t>
            </w:r>
            <w:r>
              <w:rPr>
                <w:rFonts w:ascii="Lucida Grande" w:hAnsi="Lucida Grande"/>
                <w:sz w:val="24"/>
                <w:szCs w:val="24"/>
              </w:rPr>
              <w:t xml:space="preserve"> technologies.</w:t>
            </w:r>
          </w:p>
          <w:p w:rsidR="00603CA0" w:rsidRDefault="00F15D55">
            <w:pPr>
              <w:pStyle w:val="Body"/>
              <w:widowControl w:val="0"/>
              <w:jc w:val="center"/>
              <w:rPr>
                <w:rFonts w:hint="default"/>
              </w:rPr>
            </w:pPr>
            <w:r>
              <w:rPr>
                <w:rFonts w:ascii="Lucida Grande" w:eastAsia="Calibri" w:hAnsi="Lucida Grande" w:cs="Calibri"/>
                <w:sz w:val="24"/>
                <w:szCs w:val="24"/>
                <w:u w:color="000000"/>
                <w:lang w:val="en-US"/>
              </w:rPr>
              <w:t>Goals: To introduce</w:t>
            </w:r>
            <w:r>
              <w:rPr>
                <w:rFonts w:ascii="Lucida Grande" w:eastAsia="Lucida Grande" w:hAnsi="Lucida Grande" w:cs="Lucida Grande"/>
                <w:sz w:val="24"/>
                <w:szCs w:val="24"/>
                <w:u w:color="000000"/>
                <w:lang w:val="en-US"/>
              </w:rPr>
              <w:br/>
              <w:t xml:space="preserve"> </w:t>
            </w:r>
            <w:r>
              <w:rPr>
                <w:rFonts w:ascii="Lucida Grande" w:eastAsia="Calibri" w:hAnsi="Lucida Grande" w:cs="Calibri"/>
                <w:sz w:val="24"/>
                <w:szCs w:val="24"/>
                <w:u w:color="000000"/>
                <w:lang w:val="en-US"/>
              </w:rPr>
              <w:t xml:space="preserve">models and related concepts for analyzing agent incentives for the Internet protocols, to provide solid theoretic methodology, analytic tools and practical skills in algorithmic game theory for the emerging frontiers in </w:t>
            </w:r>
            <w:r>
              <w:rPr>
                <w:rFonts w:ascii="Lucida Grande" w:eastAsia="Calibri" w:hAnsi="Lucida Grande" w:cs="Calibri"/>
                <w:sz w:val="24"/>
                <w:szCs w:val="24"/>
                <w:u w:color="000000"/>
                <w:lang w:val="en-US"/>
              </w:rPr>
              <w:t>the interface of Internet applications and its global scale users.</w:t>
            </w:r>
          </w:p>
        </w:tc>
      </w:tr>
      <w:tr w:rsidR="00603CA0">
        <w:tblPrEx>
          <w:tblCellMar>
            <w:top w:w="0" w:type="dxa"/>
            <w:left w:w="0" w:type="dxa"/>
            <w:bottom w:w="0" w:type="dxa"/>
            <w:right w:w="0" w:type="dxa"/>
          </w:tblCellMar>
        </w:tblPrEx>
        <w:trPr>
          <w:trHeight w:val="397"/>
          <w:jc w:val="center"/>
        </w:trPr>
        <w:tc>
          <w:tcPr>
            <w:tcW w:w="8291"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03CA0" w:rsidRDefault="00F15D55">
            <w:r>
              <w:rPr>
                <w:rFonts w:ascii="宋体" w:eastAsia="宋体" w:hAnsi="宋体" w:cs="宋体"/>
                <w:lang w:val="zh-TW" w:eastAsia="zh-TW"/>
              </w:rPr>
              <w:t>课程教学大纲（</w:t>
            </w:r>
            <w:r>
              <w:t>course syllabus</w:t>
            </w:r>
            <w:r>
              <w:rPr>
                <w:rFonts w:ascii="宋体" w:eastAsia="宋体" w:hAnsi="宋体" w:cs="宋体"/>
                <w:lang w:val="zh-TW" w:eastAsia="zh-TW"/>
              </w:rPr>
              <w:t>）</w:t>
            </w:r>
          </w:p>
        </w:tc>
      </w:tr>
      <w:tr w:rsidR="00603CA0">
        <w:tblPrEx>
          <w:tblCellMar>
            <w:top w:w="0" w:type="dxa"/>
            <w:left w:w="0" w:type="dxa"/>
            <w:bottom w:w="0" w:type="dxa"/>
            <w:right w:w="0" w:type="dxa"/>
          </w:tblCellMar>
        </w:tblPrEx>
        <w:trPr>
          <w:trHeight w:val="8752"/>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left"/>
            </w:pPr>
            <w:r>
              <w:rPr>
                <w:color w:val="C00000"/>
                <w:u w:color="C00000"/>
              </w:rPr>
              <w:lastRenderedPageBreak/>
              <w:t>*</w:t>
            </w:r>
            <w:r>
              <w:rPr>
                <w:rFonts w:ascii="宋体" w:eastAsia="宋体" w:hAnsi="宋体" w:cs="宋体"/>
                <w:lang w:val="zh-TW" w:eastAsia="zh-TW"/>
              </w:rPr>
              <w:t>学习目标</w:t>
            </w:r>
            <w:r>
              <w:t>(Learning Outcomes)</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603CA0">
            <w:pPr>
              <w:pStyle w:val="BodyA"/>
              <w:rPr>
                <w:rFonts w:hint="default"/>
              </w:rPr>
            </w:pPr>
          </w:p>
          <w:p w:rsidR="00603CA0" w:rsidRDefault="00F15D55">
            <w:pPr>
              <w:pStyle w:val="BodyA"/>
              <w:numPr>
                <w:ilvl w:val="0"/>
                <w:numId w:val="1"/>
              </w:numPr>
              <w:rPr>
                <w:rFonts w:ascii="Times New Roman" w:eastAsia="Times New Roman" w:hAnsi="Times New Roman" w:cs="Times New Roman" w:hint="default"/>
                <w:b/>
                <w:bCs/>
              </w:rPr>
            </w:pPr>
            <w:r>
              <w:rPr>
                <w:rFonts w:ascii="宋体" w:eastAsia="宋体" w:hAnsi="宋体" w:cs="宋体"/>
                <w:b/>
                <w:bCs/>
              </w:rPr>
              <w:t>博弈理论</w:t>
            </w:r>
            <w:r>
              <w:rPr>
                <w:rFonts w:ascii="宋体" w:eastAsia="宋体" w:hAnsi="宋体" w:cs="宋体"/>
              </w:rPr>
              <w:t>：纳什均衡，诚信拍卖，市场均衡，合作博弈等基本概念</w:t>
            </w:r>
          </w:p>
          <w:p w:rsidR="00603CA0" w:rsidRDefault="00F15D55">
            <w:pPr>
              <w:pStyle w:val="BodyA"/>
              <w:rPr>
                <w:rFonts w:hint="default"/>
              </w:rPr>
            </w:pPr>
            <w:r>
              <w:rPr>
                <w:rFonts w:ascii="宋体" w:eastAsia="宋体" w:hAnsi="宋体" w:cs="宋体"/>
              </w:rPr>
              <w:t>要求：掌握以上概念的定义，数学表达形式。其中合作博弈着重于</w:t>
            </w:r>
            <w:r>
              <w:rPr>
                <w:rFonts w:ascii="Times New Roman" w:hAnsi="Times New Roman"/>
                <w:lang w:val="it-IT"/>
              </w:rPr>
              <w:t>Core</w:t>
            </w:r>
            <w:r>
              <w:rPr>
                <w:rFonts w:ascii="宋体" w:eastAsia="宋体" w:hAnsi="宋体" w:cs="宋体"/>
              </w:rPr>
              <w:t>的概念。对互联网应用的主要范例有所掌握，并有一定运用博弈理论分析实用协议的分析能力。</w:t>
            </w:r>
          </w:p>
          <w:p w:rsidR="00603CA0" w:rsidRDefault="00F15D55">
            <w:pPr>
              <w:pStyle w:val="BodyA"/>
              <w:numPr>
                <w:ilvl w:val="0"/>
                <w:numId w:val="1"/>
              </w:numPr>
              <w:rPr>
                <w:rFonts w:ascii="Times New Roman" w:eastAsia="Times New Roman" w:hAnsi="Times New Roman" w:cs="Times New Roman" w:hint="default"/>
                <w:b/>
                <w:bCs/>
              </w:rPr>
            </w:pPr>
            <w:r>
              <w:t>博弈论算法</w:t>
            </w:r>
            <w:r>
              <w:rPr>
                <w:lang w:val="zh-CN" w:eastAsia="zh-CN"/>
              </w:rPr>
              <w:t>：</w:t>
            </w:r>
            <w:r>
              <w:rPr>
                <w:lang w:val="zh-CN" w:eastAsia="zh-CN"/>
              </w:rPr>
              <w:t xml:space="preserve"> </w:t>
            </w:r>
            <w:r>
              <w:rPr>
                <w:rFonts w:ascii="Times New Roman" w:hAnsi="Times New Roman"/>
                <w:b/>
                <w:bCs/>
              </w:rPr>
              <w:t>Lemke</w:t>
            </w:r>
            <w:r>
              <w:rPr>
                <w:rFonts w:ascii="Times New Roman" w:hAnsi="Times New Roman"/>
                <w:b/>
                <w:bCs/>
                <w:lang w:val="en-US"/>
              </w:rPr>
              <w:t>-</w:t>
            </w:r>
            <w:r>
              <w:rPr>
                <w:rFonts w:ascii="Times New Roman" w:hAnsi="Times New Roman"/>
                <w:b/>
                <w:bCs/>
              </w:rPr>
              <w:t>Howson</w:t>
            </w:r>
            <w:r>
              <w:t>算法，</w:t>
            </w:r>
            <w:r>
              <w:rPr>
                <w:rFonts w:ascii="Times New Roman" w:hAnsi="Times New Roman"/>
                <w:b/>
                <w:bCs/>
              </w:rPr>
              <w:t>PPAD</w:t>
            </w:r>
            <w:r>
              <w:t>完全</w:t>
            </w:r>
            <w:r>
              <w:rPr>
                <w:lang w:val="zh-CN" w:eastAsia="zh-CN"/>
              </w:rPr>
              <w:t>类；</w:t>
            </w:r>
            <w:r>
              <w:rPr>
                <w:rFonts w:ascii="Times New Roman" w:hAnsi="Times New Roman"/>
                <w:b/>
                <w:bCs/>
              </w:rPr>
              <w:t>Stable Marriage and Gale</w:t>
            </w:r>
            <w:r>
              <w:rPr>
                <w:rFonts w:ascii="Times New Roman" w:hAnsi="Times New Roman"/>
                <w:b/>
                <w:bCs/>
                <w:lang w:val="en-US"/>
              </w:rPr>
              <w:t xml:space="preserve">-Shapley </w:t>
            </w:r>
            <w:r>
              <w:t>算法</w:t>
            </w:r>
          </w:p>
          <w:p w:rsidR="00603CA0" w:rsidRDefault="00F15D55">
            <w:pPr>
              <w:pStyle w:val="BodyA"/>
              <w:rPr>
                <w:rFonts w:ascii="Times New Roman" w:eastAsia="Times New Roman" w:hAnsi="Times New Roman" w:cs="Times New Roman" w:hint="default"/>
                <w:b/>
                <w:bCs/>
              </w:rPr>
            </w:pPr>
            <w:r>
              <w:rPr>
                <w:rFonts w:ascii="宋体" w:eastAsia="宋体" w:hAnsi="宋体" w:cs="宋体"/>
              </w:rPr>
              <w:t>要求：掌握多项式算法的基本概念和主要设计方法、</w:t>
            </w:r>
            <w:r>
              <w:rPr>
                <w:rFonts w:ascii="Times New Roman" w:hAnsi="Times New Roman"/>
                <w:lang w:val="es-ES_tradnl"/>
              </w:rPr>
              <w:t>PPAD</w:t>
            </w:r>
            <w:r>
              <w:rPr>
                <w:rFonts w:ascii="宋体" w:eastAsia="宋体" w:hAnsi="宋体" w:cs="宋体"/>
              </w:rPr>
              <w:t>完全类和</w:t>
            </w:r>
            <w:r>
              <w:rPr>
                <w:rFonts w:ascii="Times New Roman" w:hAnsi="Times New Roman"/>
              </w:rPr>
              <w:t>NP</w:t>
            </w:r>
            <w:r>
              <w:rPr>
                <w:rFonts w:ascii="宋体" w:eastAsia="宋体" w:hAnsi="宋体" w:cs="宋体"/>
              </w:rPr>
              <w:t>完全类的证明手段。</w:t>
            </w:r>
          </w:p>
          <w:p w:rsidR="00603CA0" w:rsidRDefault="00603CA0">
            <w:pPr>
              <w:pStyle w:val="BodyA"/>
              <w:rPr>
                <w:rFonts w:ascii="Times New Roman" w:eastAsia="Times New Roman" w:hAnsi="Times New Roman" w:cs="Times New Roman" w:hint="default"/>
                <w:b/>
                <w:bCs/>
              </w:rPr>
            </w:pPr>
          </w:p>
          <w:p w:rsidR="00603CA0" w:rsidRDefault="00F15D55">
            <w:pPr>
              <w:pStyle w:val="BodyA"/>
              <w:numPr>
                <w:ilvl w:val="0"/>
                <w:numId w:val="1"/>
              </w:numPr>
              <w:rPr>
                <w:rFonts w:ascii="Times New Roman" w:eastAsia="Times New Roman" w:hAnsi="Times New Roman" w:cs="Times New Roman" w:hint="default"/>
                <w:b/>
                <w:bCs/>
              </w:rPr>
            </w:pPr>
            <w:r>
              <w:t>信息</w:t>
            </w:r>
            <w:r>
              <w:rPr>
                <w:rFonts w:ascii="宋体" w:eastAsia="宋体" w:hAnsi="宋体" w:cs="宋体"/>
                <w:b/>
                <w:bCs/>
              </w:rPr>
              <w:t>市场设</w:t>
            </w:r>
            <w:r>
              <w:rPr>
                <w:lang w:val="zh-CN" w:eastAsia="zh-CN"/>
              </w:rPr>
              <w:t>计：搜索广告市</w:t>
            </w:r>
            <w:r>
              <w:t>场</w:t>
            </w:r>
            <w:r>
              <w:rPr>
                <w:lang w:val="zh-CN" w:eastAsia="zh-CN"/>
              </w:rPr>
              <w:t>；</w:t>
            </w:r>
            <w:r>
              <w:t>数据产品市场</w:t>
            </w:r>
          </w:p>
          <w:p w:rsidR="00603CA0" w:rsidRDefault="00F15D55">
            <w:pPr>
              <w:pStyle w:val="BodyA"/>
              <w:rPr>
                <w:rFonts w:hint="default"/>
              </w:rPr>
            </w:pPr>
            <w:r>
              <w:rPr>
                <w:rFonts w:ascii="宋体" w:eastAsia="宋体" w:hAnsi="宋体" w:cs="宋体"/>
              </w:rPr>
              <w:t>要求：搜索广告市场</w:t>
            </w:r>
            <w:r>
              <w:rPr>
                <w:lang w:val="zh-CN" w:eastAsia="zh-CN"/>
              </w:rPr>
              <w:t>和数据产品市场</w:t>
            </w:r>
            <w:r>
              <w:rPr>
                <w:rFonts w:ascii="宋体" w:eastAsia="宋体" w:hAnsi="宋体" w:cs="宋体"/>
              </w:rPr>
              <w:t>模型中多种拍卖模型和均衡模型对比、效益分析以及报价博弈纳什均衡。</w:t>
            </w:r>
          </w:p>
          <w:p w:rsidR="00603CA0" w:rsidRDefault="00F15D55">
            <w:pPr>
              <w:pStyle w:val="BodyA"/>
              <w:numPr>
                <w:ilvl w:val="0"/>
                <w:numId w:val="1"/>
              </w:numPr>
              <w:rPr>
                <w:rFonts w:ascii="Times New Roman" w:eastAsia="Times New Roman" w:hAnsi="Times New Roman" w:cs="Times New Roman" w:hint="default"/>
                <w:b/>
                <w:bCs/>
              </w:rPr>
            </w:pPr>
            <w:r>
              <w:rPr>
                <w:rFonts w:ascii="宋体" w:eastAsia="宋体" w:hAnsi="宋体" w:cs="宋体"/>
              </w:rPr>
              <w:t>网络效应</w:t>
            </w:r>
            <w:r>
              <w:rPr>
                <w:rFonts w:ascii="宋体" w:eastAsia="宋体" w:hAnsi="宋体" w:cs="宋体"/>
              </w:rPr>
              <w:t xml:space="preserve"> </w:t>
            </w:r>
            <w:r>
              <w:rPr>
                <w:rFonts w:ascii="宋体" w:eastAsia="宋体" w:hAnsi="宋体" w:cs="宋体"/>
                <w:lang w:val="zh-CN" w:eastAsia="zh-CN"/>
              </w:rPr>
              <w:t>：网络中性</w:t>
            </w:r>
            <w:r>
              <w:rPr>
                <w:lang w:val="zh-CN" w:eastAsia="zh-CN"/>
              </w:rPr>
              <w:t>原则，</w:t>
            </w:r>
            <w:r>
              <w:rPr>
                <w:rFonts w:ascii="宋体" w:eastAsia="宋体" w:hAnsi="宋体" w:cs="宋体"/>
                <w:b/>
                <w:bCs/>
              </w:rPr>
              <w:t>共享</w:t>
            </w:r>
            <w:r>
              <w:t>资源博弈协</w:t>
            </w:r>
            <w:r>
              <w:rPr>
                <w:lang w:val="zh-CN" w:eastAsia="zh-CN"/>
              </w:rPr>
              <w:t>议，</w:t>
            </w:r>
            <w:r>
              <w:t>市场合作</w:t>
            </w:r>
            <w:r>
              <w:rPr>
                <w:lang w:val="zh-CN" w:eastAsia="zh-CN"/>
              </w:rPr>
              <w:t>竞争，</w:t>
            </w:r>
            <w:r>
              <w:t>密码货币</w:t>
            </w:r>
          </w:p>
          <w:p w:rsidR="00603CA0" w:rsidRDefault="00F15D55">
            <w:pPr>
              <w:pStyle w:val="BodyA"/>
              <w:rPr>
                <w:rFonts w:ascii="Times New Roman" w:eastAsia="Times New Roman" w:hAnsi="Times New Roman" w:cs="Times New Roman" w:hint="default"/>
              </w:rPr>
            </w:pPr>
            <w:r>
              <w:rPr>
                <w:rFonts w:ascii="宋体" w:eastAsia="宋体" w:hAnsi="宋体" w:cs="宋体"/>
              </w:rPr>
              <w:t>要求：网络环境的博弈包括合作博弈合理解、</w:t>
            </w:r>
            <w:r>
              <w:rPr>
                <w:rFonts w:ascii="Times New Roman" w:hAnsi="Times New Roman"/>
              </w:rPr>
              <w:t>P2P</w:t>
            </w:r>
            <w:r>
              <w:rPr>
                <w:rFonts w:ascii="宋体" w:eastAsia="宋体" w:hAnsi="宋体" w:cs="宋体"/>
              </w:rPr>
              <w:t>合理性原则、竞争环境合作分析。</w:t>
            </w:r>
          </w:p>
          <w:p w:rsidR="00603CA0" w:rsidRDefault="00F15D55">
            <w:pPr>
              <w:pStyle w:val="BodyA"/>
              <w:numPr>
                <w:ilvl w:val="0"/>
                <w:numId w:val="1"/>
              </w:numPr>
              <w:rPr>
                <w:rFonts w:ascii="Times New Roman" w:eastAsia="Times New Roman" w:hAnsi="Times New Roman" w:cs="Times New Roman" w:hint="default"/>
                <w:b/>
                <w:bCs/>
              </w:rPr>
            </w:pPr>
            <w:r>
              <w:rPr>
                <w:rFonts w:ascii="宋体" w:eastAsia="宋体" w:hAnsi="宋体" w:cs="宋体"/>
              </w:rPr>
              <w:t>不完全信息计算</w:t>
            </w:r>
            <w:r>
              <w:rPr>
                <w:rFonts w:ascii="宋体" w:eastAsia="宋体" w:hAnsi="宋体" w:cs="宋体"/>
                <w:lang w:val="zh-CN" w:eastAsia="zh-CN"/>
              </w:rPr>
              <w:t>：</w:t>
            </w:r>
            <w:r>
              <w:rPr>
                <w:rFonts w:ascii="宋体" w:eastAsia="宋体" w:hAnsi="宋体" w:cs="宋体"/>
                <w:b/>
                <w:bCs/>
                <w:lang w:val="zh-CN" w:eastAsia="zh-CN"/>
              </w:rPr>
              <w:t>无政府</w:t>
            </w:r>
            <w:r>
              <w:rPr>
                <w:lang w:val="zh-CN" w:eastAsia="zh-CN"/>
              </w:rPr>
              <w:t>代价，</w:t>
            </w:r>
            <w:r>
              <w:rPr>
                <w:rFonts w:ascii="宋体" w:eastAsia="宋体" w:hAnsi="宋体" w:cs="宋体"/>
                <w:b/>
                <w:bCs/>
              </w:rPr>
              <w:t>竞争</w:t>
            </w:r>
            <w:r>
              <w:rPr>
                <w:lang w:val="zh-CN" w:eastAsia="zh-CN"/>
              </w:rPr>
              <w:t>比，</w:t>
            </w:r>
            <w:r>
              <w:rPr>
                <w:rFonts w:ascii="宋体" w:eastAsia="宋体" w:hAnsi="宋体" w:cs="宋体"/>
                <w:b/>
                <w:bCs/>
                <w:lang w:val="zh-CN" w:eastAsia="zh-CN"/>
              </w:rPr>
              <w:t>激励比</w:t>
            </w:r>
          </w:p>
          <w:p w:rsidR="00603CA0" w:rsidRDefault="00F15D55">
            <w:pPr>
              <w:pStyle w:val="BodyA"/>
              <w:rPr>
                <w:rFonts w:hint="default"/>
              </w:rPr>
            </w:pPr>
            <w:r>
              <w:rPr>
                <w:rFonts w:ascii="宋体" w:eastAsia="宋体" w:hAnsi="宋体" w:cs="宋体"/>
              </w:rPr>
              <w:t>要求：</w:t>
            </w:r>
            <w:r>
              <w:t>理解</w:t>
            </w:r>
            <w:r>
              <w:rPr>
                <w:rFonts w:ascii="宋体" w:eastAsia="宋体" w:hAnsi="宋体" w:cs="宋体"/>
              </w:rPr>
              <w:t>减低无政府代价对互联网经济系统效率以及</w:t>
            </w:r>
            <w:r>
              <w:rPr>
                <w:rFonts w:ascii="宋体" w:eastAsia="宋体" w:hAnsi="宋体" w:cs="宋体"/>
                <w:b/>
                <w:bCs/>
              </w:rPr>
              <w:t>激励比概念对市场稳定性</w:t>
            </w:r>
            <w:r>
              <w:rPr>
                <w:rFonts w:ascii="宋体" w:eastAsia="宋体" w:hAnsi="宋体" w:cs="宋体"/>
              </w:rPr>
              <w:t>的方法论意义。掌握</w:t>
            </w:r>
            <w:r>
              <w:t>分析方法</w:t>
            </w:r>
          </w:p>
          <w:p w:rsidR="00603CA0" w:rsidRDefault="00F15D55">
            <w:pPr>
              <w:pStyle w:val="BodyA"/>
              <w:numPr>
                <w:ilvl w:val="0"/>
                <w:numId w:val="1"/>
              </w:numPr>
              <w:rPr>
                <w:rFonts w:ascii="Times New Roman" w:eastAsia="Times New Roman" w:hAnsi="Times New Roman" w:cs="Times New Roman" w:hint="default"/>
                <w:b/>
                <w:bCs/>
              </w:rPr>
            </w:pPr>
            <w:r>
              <w:t>博弈数据分析原理</w:t>
            </w:r>
            <w:r>
              <w:rPr>
                <w:lang w:val="zh-CN" w:eastAsia="zh-CN"/>
              </w:rPr>
              <w:t>：</w:t>
            </w:r>
            <w:r>
              <w:t>最优拍卖价值统计学习有效性</w:t>
            </w:r>
            <w:r>
              <w:rPr>
                <w:lang w:val="zh-CN" w:eastAsia="zh-CN"/>
              </w:rPr>
              <w:t>；</w:t>
            </w:r>
            <w:r>
              <w:rPr>
                <w:rFonts w:ascii="宋体" w:eastAsia="宋体" w:hAnsi="宋体" w:cs="宋体"/>
              </w:rPr>
              <w:t>数据</w:t>
            </w:r>
            <w:r>
              <w:t>获取</w:t>
            </w:r>
            <w:r>
              <w:rPr>
                <w:rFonts w:ascii="宋体" w:eastAsia="宋体" w:hAnsi="宋体" w:cs="宋体"/>
              </w:rPr>
              <w:t>众筹设计</w:t>
            </w:r>
          </w:p>
          <w:p w:rsidR="00603CA0" w:rsidRDefault="00F15D55">
            <w:pPr>
              <w:pStyle w:val="BodyA"/>
              <w:rPr>
                <w:rFonts w:ascii="Times New Roman" w:eastAsia="Times New Roman" w:hAnsi="Times New Roman" w:cs="Times New Roman" w:hint="default"/>
              </w:rPr>
            </w:pPr>
            <w:r>
              <w:rPr>
                <w:rFonts w:ascii="宋体" w:eastAsia="宋体" w:hAnsi="宋体" w:cs="宋体"/>
              </w:rPr>
              <w:t>要求：探讨博弈数据特征和混合机制分解。数据众筹设计的经济学分析。</w:t>
            </w:r>
            <w:r>
              <w:rPr>
                <w:rFonts w:ascii="Times New Roman" w:hAnsi="Times New Roman"/>
                <w:b/>
                <w:bCs/>
              </w:rPr>
              <w:t xml:space="preserve"> </w:t>
            </w:r>
            <w:r>
              <w:rPr>
                <w:rFonts w:ascii="宋体" w:eastAsia="宋体" w:hAnsi="宋体" w:cs="宋体"/>
              </w:rPr>
              <w:t>探讨博弈环境</w:t>
            </w:r>
            <w:r>
              <w:t>统计</w:t>
            </w:r>
            <w:r>
              <w:rPr>
                <w:rFonts w:ascii="宋体" w:eastAsia="宋体" w:hAnsi="宋体" w:cs="宋体"/>
              </w:rPr>
              <w:t>学习挑战。</w:t>
            </w:r>
          </w:p>
          <w:p w:rsidR="00603CA0" w:rsidRDefault="00F15D55">
            <w:pPr>
              <w:pStyle w:val="BodyA"/>
              <w:numPr>
                <w:ilvl w:val="0"/>
                <w:numId w:val="1"/>
              </w:numPr>
              <w:rPr>
                <w:rFonts w:ascii="Times New Roman" w:eastAsia="Times New Roman" w:hAnsi="Times New Roman" w:cs="Times New Roman" w:hint="default"/>
                <w:b/>
                <w:bCs/>
              </w:rPr>
            </w:pPr>
            <w:r>
              <w:t>案例分析</w:t>
            </w:r>
          </w:p>
          <w:p w:rsidR="00603CA0" w:rsidRDefault="00F15D55">
            <w:pPr>
              <w:pStyle w:val="BodyA"/>
              <w:rPr>
                <w:rFonts w:hint="default"/>
              </w:rPr>
            </w:pPr>
            <w:r>
              <w:rPr>
                <w:rFonts w:ascii="宋体" w:eastAsia="宋体" w:hAnsi="宋体" w:cs="宋体"/>
              </w:rPr>
              <w:t>要求：</w:t>
            </w:r>
            <w:r>
              <w:t>发现实用课题／分析实验课题／实现解决方案／</w:t>
            </w:r>
          </w:p>
          <w:p w:rsidR="00603CA0" w:rsidRDefault="00603CA0"/>
          <w:p w:rsidR="00603CA0" w:rsidRDefault="00603CA0"/>
        </w:tc>
      </w:tr>
      <w:tr w:rsidR="00603CA0">
        <w:tblPrEx>
          <w:tblCellMar>
            <w:top w:w="0" w:type="dxa"/>
            <w:left w:w="0" w:type="dxa"/>
            <w:bottom w:w="0" w:type="dxa"/>
            <w:right w:w="0" w:type="dxa"/>
          </w:tblCellMar>
        </w:tblPrEx>
        <w:trPr>
          <w:trHeight w:val="13800"/>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spacing w:line="460" w:lineRule="exact"/>
              <w:jc w:val="center"/>
            </w:pPr>
            <w:r>
              <w:rPr>
                <w:color w:val="C00000"/>
                <w:u w:color="C00000"/>
              </w:rPr>
              <w:lastRenderedPageBreak/>
              <w:t>*</w:t>
            </w:r>
            <w:r>
              <w:rPr>
                <w:rFonts w:ascii="宋体" w:eastAsia="宋体" w:hAnsi="宋体" w:cs="宋体"/>
                <w:lang w:val="zh-TW" w:eastAsia="zh-TW"/>
              </w:rPr>
              <w:t>教学内容、进度安排及要求</w:t>
            </w:r>
          </w:p>
          <w:p w:rsidR="00603CA0" w:rsidRDefault="00F15D55">
            <w:pPr>
              <w:spacing w:line="460" w:lineRule="exact"/>
              <w:jc w:val="center"/>
            </w:pPr>
            <w:r>
              <w:t>(Class Schedule</w:t>
            </w:r>
          </w:p>
          <w:p w:rsidR="00603CA0" w:rsidRDefault="00F15D55">
            <w:pPr>
              <w:spacing w:line="460" w:lineRule="exact"/>
              <w:jc w:val="center"/>
            </w:pPr>
            <w:r>
              <w:t>&amp;Requirements)</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教学内容</w:t>
            </w:r>
            <w:r>
              <w:rPr>
                <w:rFonts w:ascii="宋体" w:eastAsia="宋体" w:hAnsi="宋体" w:cs="宋体"/>
                <w:lang w:val="zh-TW" w:eastAsia="zh-TW"/>
              </w:rPr>
              <w:tab/>
            </w:r>
            <w:r>
              <w:rPr>
                <w:rFonts w:ascii="宋体" w:eastAsia="宋体" w:hAnsi="宋体" w:cs="宋体"/>
                <w:lang w:val="zh-TW" w:eastAsia="zh-TW"/>
              </w:rPr>
              <w:t>学时</w:t>
            </w:r>
            <w:r>
              <w:rPr>
                <w:rFonts w:ascii="宋体" w:eastAsia="宋体" w:hAnsi="宋体" w:cs="宋体"/>
                <w:lang w:val="zh-TW" w:eastAsia="zh-TW"/>
              </w:rPr>
              <w:tab/>
            </w:r>
            <w:r>
              <w:rPr>
                <w:rFonts w:ascii="宋体" w:eastAsia="宋体" w:hAnsi="宋体" w:cs="宋体"/>
                <w:lang w:val="zh-TW" w:eastAsia="zh-TW"/>
              </w:rPr>
              <w:t>教学方式</w:t>
            </w:r>
            <w:r>
              <w:rPr>
                <w:rFonts w:ascii="宋体" w:eastAsia="宋体" w:hAnsi="宋体" w:cs="宋体"/>
                <w:lang w:val="zh-TW" w:eastAsia="zh-TW"/>
              </w:rPr>
              <w:tab/>
            </w:r>
            <w:r>
              <w:rPr>
                <w:rFonts w:ascii="宋体" w:eastAsia="宋体" w:hAnsi="宋体" w:cs="宋体"/>
                <w:lang w:val="zh-TW" w:eastAsia="zh-TW"/>
              </w:rPr>
              <w:t>作业及要求</w:t>
            </w:r>
            <w:r>
              <w:rPr>
                <w:rFonts w:ascii="宋体" w:eastAsia="宋体" w:hAnsi="宋体" w:cs="宋体"/>
                <w:lang w:val="zh-TW" w:eastAsia="zh-TW"/>
              </w:rPr>
              <w:tab/>
            </w:r>
            <w:r>
              <w:rPr>
                <w:rFonts w:ascii="宋体" w:eastAsia="宋体" w:hAnsi="宋体" w:cs="宋体"/>
                <w:lang w:val="zh-TW" w:eastAsia="zh-TW"/>
              </w:rPr>
              <w:t>基本要求</w:t>
            </w:r>
            <w:r>
              <w:rPr>
                <w:rFonts w:ascii="宋体" w:eastAsia="宋体" w:hAnsi="宋体" w:cs="宋体"/>
                <w:lang w:val="zh-TW" w:eastAsia="zh-TW"/>
              </w:rPr>
              <w:tab/>
            </w:r>
            <w:r>
              <w:rPr>
                <w:rFonts w:ascii="宋体" w:eastAsia="宋体" w:hAnsi="宋体" w:cs="宋体"/>
                <w:lang w:val="zh-TW" w:eastAsia="zh-TW"/>
              </w:rPr>
              <w:t>考查方式</w:t>
            </w:r>
          </w:p>
          <w:p w:rsidR="00603CA0" w:rsidRDefault="00F15D55">
            <w:pPr>
              <w:pStyle w:val="BodyA"/>
              <w:numPr>
                <w:ilvl w:val="0"/>
                <w:numId w:val="2"/>
              </w:numPr>
              <w:rPr>
                <w:rFonts w:ascii="Times New Roman" w:eastAsia="Times New Roman" w:hAnsi="Times New Roman" w:cs="Times New Roman" w:hint="default"/>
              </w:rPr>
            </w:pPr>
            <w:r>
              <w:rPr>
                <w:rFonts w:ascii="宋体" w:eastAsia="宋体" w:hAnsi="宋体" w:cs="宋体"/>
              </w:rPr>
              <w:t>博弈论基础部分（</w:t>
            </w:r>
            <w:r>
              <w:rPr>
                <w:rFonts w:ascii="宋体" w:eastAsia="宋体" w:hAnsi="宋体" w:cs="宋体"/>
                <w:lang w:val="zh-CN" w:eastAsia="zh-CN"/>
              </w:rPr>
              <w:t>8</w:t>
            </w:r>
            <w:r>
              <w:rPr>
                <w:lang w:val="zh-CN" w:eastAsia="zh-CN"/>
              </w:rPr>
              <w:t>学时，</w:t>
            </w:r>
            <w:r>
              <w:rPr>
                <w:rFonts w:ascii="宋体" w:eastAsia="宋体" w:hAnsi="宋体" w:cs="宋体"/>
              </w:rPr>
              <w:t>2</w:t>
            </w:r>
            <w:r>
              <w:rPr>
                <w:rFonts w:ascii="Times New Roman" w:hAnsi="Times New Roman"/>
              </w:rPr>
              <w:t>0</w:t>
            </w:r>
            <w:r>
              <w:rPr>
                <w:rFonts w:ascii="宋体" w:eastAsia="宋体" w:hAnsi="宋体" w:cs="宋体"/>
              </w:rPr>
              <w:t>分）</w:t>
            </w:r>
          </w:p>
          <w:p w:rsidR="00603CA0" w:rsidRDefault="00F15D55">
            <w:pPr>
              <w:pStyle w:val="BodyA"/>
              <w:ind w:left="360"/>
              <w:rPr>
                <w:rFonts w:hint="default"/>
              </w:rPr>
            </w:pPr>
            <w:r>
              <w:rPr>
                <w:rFonts w:ascii="宋体" w:eastAsia="宋体" w:hAnsi="宋体" w:cs="宋体"/>
              </w:rPr>
              <w:t>考试总体要求：理解博弈论基本概念、掌握分析方法。</w:t>
            </w:r>
          </w:p>
          <w:p w:rsidR="00603CA0" w:rsidRDefault="00F15D55">
            <w:pPr>
              <w:pStyle w:val="BodyA"/>
              <w:ind w:left="360"/>
              <w:rPr>
                <w:rFonts w:hint="default"/>
              </w:rPr>
            </w:pPr>
            <w:r>
              <w:rPr>
                <w:rFonts w:ascii="宋体" w:eastAsia="宋体" w:hAnsi="宋体" w:cs="宋体"/>
              </w:rPr>
              <w:t>考试内容：</w:t>
            </w:r>
            <w:r>
              <w:rPr>
                <w:rFonts w:ascii="Times New Roman" w:hAnsi="Times New Roman"/>
              </w:rPr>
              <w:t xml:space="preserve"> </w:t>
            </w:r>
            <w:r>
              <w:rPr>
                <w:rFonts w:ascii="宋体" w:eastAsia="宋体" w:hAnsi="宋体" w:cs="宋体"/>
              </w:rPr>
              <w:t>理解并掌握有关纳什均衡（</w:t>
            </w:r>
            <w:r>
              <w:rPr>
                <w:rFonts w:ascii="Times New Roman" w:hAnsi="Times New Roman"/>
              </w:rPr>
              <w:t>5</w:t>
            </w:r>
            <w:r>
              <w:rPr>
                <w:rFonts w:ascii="宋体" w:eastAsia="宋体" w:hAnsi="宋体" w:cs="宋体"/>
              </w:rPr>
              <w:t>分）诚信机制（</w:t>
            </w:r>
            <w:r>
              <w:rPr>
                <w:rFonts w:ascii="Times New Roman" w:hAnsi="Times New Roman"/>
              </w:rPr>
              <w:t>5</w:t>
            </w:r>
            <w:r>
              <w:rPr>
                <w:rFonts w:ascii="宋体" w:eastAsia="宋体" w:hAnsi="宋体" w:cs="宋体"/>
              </w:rPr>
              <w:t>分）合作博弈概念（</w:t>
            </w:r>
            <w:r>
              <w:rPr>
                <w:rFonts w:ascii="Times New Roman" w:hAnsi="Times New Roman"/>
              </w:rPr>
              <w:t>5</w:t>
            </w:r>
            <w:r>
              <w:rPr>
                <w:rFonts w:ascii="宋体" w:eastAsia="宋体" w:hAnsi="宋体" w:cs="宋体"/>
              </w:rPr>
              <w:t>分），市场均衡（</w:t>
            </w:r>
            <w:r>
              <w:rPr>
                <w:rFonts w:ascii="Times New Roman" w:hAnsi="Times New Roman"/>
              </w:rPr>
              <w:t>5</w:t>
            </w:r>
            <w:r>
              <w:rPr>
                <w:rFonts w:ascii="宋体" w:eastAsia="宋体" w:hAnsi="宋体" w:cs="宋体"/>
              </w:rPr>
              <w:t>分）以及的相关基本概念及分析方法。</w:t>
            </w:r>
          </w:p>
          <w:p w:rsidR="00603CA0" w:rsidRDefault="00F15D55">
            <w:pPr>
              <w:pStyle w:val="BodyA"/>
              <w:ind w:left="360"/>
              <w:rPr>
                <w:rFonts w:hint="default"/>
              </w:rPr>
            </w:pPr>
            <w:r>
              <w:rPr>
                <w:rFonts w:ascii="宋体" w:eastAsia="宋体" w:hAnsi="宋体" w:cs="宋体"/>
              </w:rPr>
              <w:t>考试题型及比例：客观题（</w:t>
            </w:r>
            <w:r>
              <w:rPr>
                <w:rFonts w:ascii="Times New Roman" w:hAnsi="Times New Roman"/>
                <w:lang w:val="pt-PT"/>
              </w:rPr>
              <w:t>30%</w:t>
            </w:r>
            <w:r>
              <w:rPr>
                <w:rFonts w:ascii="宋体" w:eastAsia="宋体" w:hAnsi="宋体" w:cs="宋体"/>
              </w:rPr>
              <w:t>）主观题（</w:t>
            </w:r>
            <w:r>
              <w:rPr>
                <w:rFonts w:ascii="Times New Roman" w:hAnsi="Times New Roman"/>
              </w:rPr>
              <w:t>70%</w:t>
            </w:r>
            <w:r>
              <w:rPr>
                <w:rFonts w:ascii="宋体" w:eastAsia="宋体" w:hAnsi="宋体" w:cs="宋体"/>
              </w:rPr>
              <w:t>）</w:t>
            </w:r>
          </w:p>
          <w:p w:rsidR="00603CA0" w:rsidRDefault="00F15D55">
            <w:pPr>
              <w:pStyle w:val="BodyA"/>
              <w:numPr>
                <w:ilvl w:val="0"/>
                <w:numId w:val="2"/>
              </w:numPr>
              <w:rPr>
                <w:rFonts w:ascii="Times New Roman" w:eastAsia="Times New Roman" w:hAnsi="Times New Roman" w:cs="Times New Roman" w:hint="default"/>
              </w:rPr>
            </w:pPr>
            <w:r>
              <w:t>博弈论算法</w:t>
            </w:r>
            <w:r>
              <w:rPr>
                <w:rFonts w:ascii="Times New Roman" w:hAnsi="Times New Roman"/>
              </w:rPr>
              <w:t xml:space="preserve"> </w:t>
            </w:r>
            <w:r>
              <w:t>（</w:t>
            </w:r>
            <w:r>
              <w:rPr>
                <w:lang w:val="zh-CN" w:eastAsia="zh-CN"/>
              </w:rPr>
              <w:t>4</w:t>
            </w:r>
            <w:r>
              <w:rPr>
                <w:lang w:val="zh-CN" w:eastAsia="zh-CN"/>
              </w:rPr>
              <w:t>学时，</w:t>
            </w:r>
            <w:r>
              <w:rPr>
                <w:rFonts w:ascii="Times New Roman" w:hAnsi="Times New Roman"/>
              </w:rPr>
              <w:t>20</w:t>
            </w:r>
            <w:r>
              <w:t>分）</w:t>
            </w:r>
          </w:p>
          <w:p w:rsidR="00603CA0" w:rsidRDefault="00F15D55">
            <w:pPr>
              <w:pStyle w:val="BodyA"/>
              <w:ind w:left="360"/>
              <w:rPr>
                <w:rFonts w:hint="default"/>
              </w:rPr>
            </w:pPr>
            <w:r>
              <w:rPr>
                <w:rFonts w:ascii="宋体" w:eastAsia="宋体" w:hAnsi="宋体" w:cs="宋体"/>
              </w:rPr>
              <w:t>考试总体要求：掌握</w:t>
            </w:r>
            <w:r>
              <w:t>基本算法</w:t>
            </w:r>
            <w:r>
              <w:rPr>
                <w:rFonts w:ascii="宋体" w:eastAsia="宋体" w:hAnsi="宋体" w:cs="宋体"/>
              </w:rPr>
              <w:t>（</w:t>
            </w:r>
            <w:r>
              <w:rPr>
                <w:rFonts w:ascii="Times New Roman" w:hAnsi="Times New Roman"/>
              </w:rPr>
              <w:t>lemke</w:t>
            </w:r>
            <w:r>
              <w:rPr>
                <w:rFonts w:ascii="Times New Roman" w:hAnsi="Times New Roman"/>
                <w:lang w:val="en-US"/>
              </w:rPr>
              <w:t>-</w:t>
            </w:r>
            <w:proofErr w:type="spellStart"/>
            <w:r>
              <w:rPr>
                <w:rFonts w:ascii="Times New Roman" w:hAnsi="Times New Roman"/>
                <w:lang w:val="en-US"/>
              </w:rPr>
              <w:t>howson</w:t>
            </w:r>
            <w:proofErr w:type="spellEnd"/>
            <w:r>
              <w:t>以及</w:t>
            </w:r>
            <w:r>
              <w:rPr>
                <w:rFonts w:ascii="Times New Roman" w:hAnsi="Times New Roman"/>
                <w:lang w:val="en-US"/>
              </w:rPr>
              <w:t>gale-</w:t>
            </w:r>
            <w:proofErr w:type="spellStart"/>
            <w:r>
              <w:rPr>
                <w:rFonts w:ascii="Times New Roman" w:hAnsi="Times New Roman"/>
                <w:lang w:val="en-US"/>
              </w:rPr>
              <w:t>shapley</w:t>
            </w:r>
            <w:proofErr w:type="spellEnd"/>
            <w:r>
              <w:rPr>
                <w:rFonts w:ascii="宋体" w:eastAsia="宋体" w:hAnsi="宋体" w:cs="宋体"/>
              </w:rPr>
              <w:t>）</w:t>
            </w:r>
            <w:r>
              <w:t>的分析及应用</w:t>
            </w:r>
          </w:p>
          <w:p w:rsidR="00603CA0" w:rsidRDefault="00F15D55">
            <w:pPr>
              <w:pStyle w:val="BodyA"/>
              <w:ind w:left="360"/>
              <w:rPr>
                <w:rFonts w:hint="default"/>
              </w:rPr>
            </w:pPr>
            <w:r>
              <w:rPr>
                <w:rFonts w:ascii="宋体" w:eastAsia="宋体" w:hAnsi="宋体" w:cs="宋体"/>
              </w:rPr>
              <w:t>考试内容：</w:t>
            </w:r>
            <w:r>
              <w:t>均衡计算</w:t>
            </w:r>
            <w:r>
              <w:rPr>
                <w:rFonts w:ascii="宋体" w:eastAsia="宋体" w:hAnsi="宋体" w:cs="宋体"/>
              </w:rPr>
              <w:t>（</w:t>
            </w:r>
            <w:r>
              <w:rPr>
                <w:rFonts w:ascii="宋体" w:eastAsia="宋体" w:hAnsi="宋体" w:cs="宋体"/>
              </w:rPr>
              <w:t>10</w:t>
            </w:r>
            <w:r>
              <w:rPr>
                <w:rFonts w:ascii="宋体" w:eastAsia="宋体" w:hAnsi="宋体" w:cs="宋体"/>
              </w:rPr>
              <w:t>分）</w:t>
            </w:r>
            <w:r>
              <w:t>稳定匹配</w:t>
            </w:r>
            <w:r>
              <w:rPr>
                <w:rFonts w:ascii="宋体" w:eastAsia="宋体" w:hAnsi="宋体" w:cs="宋体"/>
              </w:rPr>
              <w:t>（</w:t>
            </w:r>
            <w:r>
              <w:rPr>
                <w:rFonts w:ascii="宋体" w:eastAsia="宋体" w:hAnsi="宋体" w:cs="宋体"/>
              </w:rPr>
              <w:t>10</w:t>
            </w:r>
            <w:r>
              <w:rPr>
                <w:rFonts w:ascii="宋体" w:eastAsia="宋体" w:hAnsi="宋体" w:cs="宋体"/>
              </w:rPr>
              <w:t>分）以及的相关基本概念及分析方法。</w:t>
            </w:r>
          </w:p>
          <w:p w:rsidR="00603CA0" w:rsidRDefault="00F15D55">
            <w:pPr>
              <w:pStyle w:val="BodyA"/>
              <w:ind w:left="360"/>
              <w:rPr>
                <w:rFonts w:ascii="宋体" w:eastAsia="宋体" w:hAnsi="宋体" w:cs="宋体" w:hint="default"/>
              </w:rPr>
            </w:pPr>
            <w:r>
              <w:rPr>
                <w:rFonts w:ascii="宋体" w:eastAsia="宋体" w:hAnsi="宋体" w:cs="宋体"/>
              </w:rPr>
              <w:t>考试题型及比例：客观题（</w:t>
            </w:r>
            <w:r>
              <w:rPr>
                <w:rFonts w:ascii="Times New Roman" w:hAnsi="Times New Roman"/>
                <w:lang w:val="pt-PT"/>
              </w:rPr>
              <w:t>30%</w:t>
            </w:r>
            <w:r>
              <w:rPr>
                <w:rFonts w:ascii="宋体" w:eastAsia="宋体" w:hAnsi="宋体" w:cs="宋体"/>
              </w:rPr>
              <w:t>）主观题（</w:t>
            </w:r>
            <w:r>
              <w:rPr>
                <w:rFonts w:ascii="Times New Roman" w:hAnsi="Times New Roman"/>
              </w:rPr>
              <w:t>70%</w:t>
            </w:r>
            <w:r>
              <w:rPr>
                <w:rFonts w:ascii="宋体" w:eastAsia="宋体" w:hAnsi="宋体" w:cs="宋体"/>
              </w:rPr>
              <w:t>）</w:t>
            </w:r>
          </w:p>
          <w:p w:rsidR="00603CA0" w:rsidRDefault="00F15D55">
            <w:pPr>
              <w:pStyle w:val="BodyA"/>
              <w:numPr>
                <w:ilvl w:val="0"/>
                <w:numId w:val="2"/>
              </w:numPr>
              <w:rPr>
                <w:rFonts w:ascii="Times New Roman" w:eastAsia="Times New Roman" w:hAnsi="Times New Roman" w:cs="Times New Roman" w:hint="default"/>
              </w:rPr>
            </w:pPr>
            <w:r>
              <w:t>信息</w:t>
            </w:r>
            <w:r>
              <w:rPr>
                <w:rFonts w:ascii="宋体" w:eastAsia="宋体" w:hAnsi="宋体" w:cs="宋体"/>
              </w:rPr>
              <w:t>市场设计（</w:t>
            </w:r>
            <w:r>
              <w:rPr>
                <w:rFonts w:ascii="宋体" w:eastAsia="宋体" w:hAnsi="宋体" w:cs="宋体"/>
                <w:lang w:val="zh-CN" w:eastAsia="zh-CN"/>
              </w:rPr>
              <w:t>4</w:t>
            </w:r>
            <w:r>
              <w:rPr>
                <w:lang w:val="zh-CN" w:eastAsia="zh-CN"/>
              </w:rPr>
              <w:t>学时，</w:t>
            </w:r>
            <w:r>
              <w:rPr>
                <w:rFonts w:ascii="宋体" w:eastAsia="宋体" w:hAnsi="宋体" w:cs="宋体"/>
              </w:rPr>
              <w:t>15</w:t>
            </w:r>
            <w:r>
              <w:t>分</w:t>
            </w:r>
            <w:r>
              <w:rPr>
                <w:rFonts w:ascii="宋体" w:eastAsia="宋体" w:hAnsi="宋体" w:cs="宋体"/>
              </w:rPr>
              <w:t>）</w:t>
            </w:r>
          </w:p>
          <w:p w:rsidR="00603CA0" w:rsidRDefault="00F15D55">
            <w:pPr>
              <w:pStyle w:val="BodyA"/>
              <w:ind w:left="360"/>
              <w:rPr>
                <w:rFonts w:hint="default"/>
              </w:rPr>
            </w:pPr>
            <w:r>
              <w:rPr>
                <w:rFonts w:ascii="宋体" w:eastAsia="宋体" w:hAnsi="宋体" w:cs="宋体"/>
              </w:rPr>
              <w:t>考试总体要求：理解</w:t>
            </w:r>
            <w:r>
              <w:t>掌握</w:t>
            </w:r>
            <w:r>
              <w:rPr>
                <w:rFonts w:ascii="宋体" w:eastAsia="宋体" w:hAnsi="宋体" w:cs="宋体"/>
              </w:rPr>
              <w:t>广告市场</w:t>
            </w:r>
            <w:r>
              <w:t>和数据产品定价模型及优化算法</w:t>
            </w:r>
            <w:r>
              <w:rPr>
                <w:rFonts w:ascii="宋体" w:eastAsia="宋体" w:hAnsi="宋体" w:cs="宋体"/>
              </w:rPr>
              <w:t>。</w:t>
            </w:r>
          </w:p>
          <w:p w:rsidR="00603CA0" w:rsidRDefault="00F15D55">
            <w:pPr>
              <w:pStyle w:val="BodyA"/>
              <w:ind w:left="360"/>
              <w:rPr>
                <w:rFonts w:hint="default"/>
              </w:rPr>
            </w:pPr>
            <w:r>
              <w:rPr>
                <w:rFonts w:ascii="宋体" w:eastAsia="宋体" w:hAnsi="宋体" w:cs="宋体"/>
              </w:rPr>
              <w:t>考试内容：</w:t>
            </w:r>
            <w:r>
              <w:rPr>
                <w:rFonts w:ascii="Times New Roman" w:hAnsi="Times New Roman"/>
              </w:rPr>
              <w:t xml:space="preserve"> </w:t>
            </w:r>
            <w:r>
              <w:t>广告市场</w:t>
            </w:r>
            <w:r>
              <w:rPr>
                <w:rFonts w:ascii="宋体" w:eastAsia="宋体" w:hAnsi="宋体" w:cs="宋体"/>
              </w:rPr>
              <w:t>（</w:t>
            </w:r>
            <w:r>
              <w:rPr>
                <w:rFonts w:ascii="宋体" w:eastAsia="宋体" w:hAnsi="宋体" w:cs="宋体"/>
              </w:rPr>
              <w:t>10</w:t>
            </w:r>
            <w:r>
              <w:rPr>
                <w:rFonts w:ascii="宋体" w:eastAsia="宋体" w:hAnsi="宋体" w:cs="宋体"/>
              </w:rPr>
              <w:t>分）</w:t>
            </w:r>
            <w:r>
              <w:t>数据产品</w:t>
            </w:r>
            <w:r>
              <w:rPr>
                <w:rFonts w:ascii="宋体" w:eastAsia="宋体" w:hAnsi="宋体" w:cs="宋体"/>
              </w:rPr>
              <w:t>（</w:t>
            </w:r>
            <w:r>
              <w:rPr>
                <w:rFonts w:ascii="Times New Roman" w:hAnsi="Times New Roman"/>
              </w:rPr>
              <w:t>5</w:t>
            </w:r>
            <w:r>
              <w:rPr>
                <w:rFonts w:ascii="宋体" w:eastAsia="宋体" w:hAnsi="宋体" w:cs="宋体"/>
              </w:rPr>
              <w:t>分）</w:t>
            </w:r>
            <w:r>
              <w:t>定价协议</w:t>
            </w:r>
            <w:r>
              <w:rPr>
                <w:rFonts w:ascii="宋体" w:eastAsia="宋体" w:hAnsi="宋体" w:cs="宋体"/>
              </w:rPr>
              <w:t>及分析方法。</w:t>
            </w:r>
          </w:p>
          <w:p w:rsidR="00603CA0" w:rsidRDefault="00F15D55">
            <w:pPr>
              <w:pStyle w:val="BodyA"/>
              <w:ind w:left="360"/>
              <w:rPr>
                <w:rFonts w:hint="default"/>
              </w:rPr>
            </w:pPr>
            <w:r>
              <w:rPr>
                <w:rFonts w:ascii="宋体" w:eastAsia="宋体" w:hAnsi="宋体" w:cs="宋体"/>
              </w:rPr>
              <w:t>考试题型及比例：客观题（</w:t>
            </w:r>
            <w:r>
              <w:rPr>
                <w:rFonts w:ascii="Times New Roman" w:hAnsi="Times New Roman"/>
                <w:lang w:val="pt-PT"/>
              </w:rPr>
              <w:t>30%</w:t>
            </w:r>
            <w:r>
              <w:rPr>
                <w:rFonts w:ascii="宋体" w:eastAsia="宋体" w:hAnsi="宋体" w:cs="宋体"/>
              </w:rPr>
              <w:t>）主观题（</w:t>
            </w:r>
            <w:r>
              <w:rPr>
                <w:rFonts w:ascii="Times New Roman" w:hAnsi="Times New Roman"/>
              </w:rPr>
              <w:t>70%</w:t>
            </w:r>
            <w:r>
              <w:rPr>
                <w:rFonts w:ascii="宋体" w:eastAsia="宋体" w:hAnsi="宋体" w:cs="宋体"/>
              </w:rPr>
              <w:t>）</w:t>
            </w:r>
          </w:p>
          <w:p w:rsidR="00603CA0" w:rsidRDefault="00F15D55">
            <w:pPr>
              <w:pStyle w:val="BodyA"/>
              <w:numPr>
                <w:ilvl w:val="0"/>
                <w:numId w:val="2"/>
              </w:numPr>
              <w:rPr>
                <w:rFonts w:ascii="宋体" w:eastAsia="宋体" w:hAnsi="宋体" w:cs="宋体" w:hint="default"/>
              </w:rPr>
            </w:pPr>
            <w:r>
              <w:rPr>
                <w:rFonts w:ascii="宋体" w:eastAsia="宋体" w:hAnsi="宋体" w:cs="宋体"/>
              </w:rPr>
              <w:t>网络</w:t>
            </w:r>
            <w:r>
              <w:rPr>
                <w:rFonts w:ascii="宋体" w:hAnsi="宋体" w:cs="宋体"/>
              </w:rPr>
              <w:t>效应博弈</w:t>
            </w:r>
            <w:r>
              <w:rPr>
                <w:rFonts w:ascii="宋体" w:eastAsia="宋体" w:hAnsi="宋体" w:cs="宋体"/>
              </w:rPr>
              <w:t>（</w:t>
            </w:r>
            <w:r>
              <w:rPr>
                <w:rFonts w:ascii="宋体" w:eastAsia="宋体" w:hAnsi="宋体" w:cs="宋体"/>
                <w:lang w:val="zh-CN" w:eastAsia="zh-CN"/>
              </w:rPr>
              <w:t>4-8</w:t>
            </w:r>
            <w:r>
              <w:rPr>
                <w:rFonts w:ascii="宋体" w:eastAsia="宋体" w:hAnsi="宋体" w:cs="宋体"/>
                <w:lang w:val="zh-CN" w:eastAsia="zh-CN"/>
              </w:rPr>
              <w:t>学时，</w:t>
            </w:r>
            <w:r>
              <w:rPr>
                <w:rFonts w:ascii="宋体" w:eastAsia="宋体" w:hAnsi="宋体" w:cs="宋体"/>
              </w:rPr>
              <w:t>10</w:t>
            </w:r>
            <w:r>
              <w:rPr>
                <w:rFonts w:ascii="宋体" w:hAnsi="宋体" w:cs="宋体"/>
              </w:rPr>
              <w:t>分）</w:t>
            </w:r>
          </w:p>
          <w:p w:rsidR="00603CA0" w:rsidRDefault="00F15D55">
            <w:pPr>
              <w:pStyle w:val="BodyA"/>
              <w:ind w:left="360"/>
              <w:rPr>
                <w:rFonts w:hint="default"/>
              </w:rPr>
            </w:pPr>
            <w:r>
              <w:rPr>
                <w:rFonts w:ascii="宋体" w:eastAsia="宋体" w:hAnsi="宋体" w:cs="宋体"/>
              </w:rPr>
              <w:t>考试总体要求：</w:t>
            </w:r>
            <w:r>
              <w:t>了</w:t>
            </w:r>
            <w:r>
              <w:rPr>
                <w:rFonts w:ascii="宋体" w:eastAsia="宋体" w:hAnsi="宋体" w:cs="宋体"/>
              </w:rPr>
              <w:t>解共享</w:t>
            </w:r>
            <w:r>
              <w:t>资源博弈及</w:t>
            </w:r>
            <w:r>
              <w:rPr>
                <w:rFonts w:ascii="宋体" w:eastAsia="宋体" w:hAnsi="宋体" w:cs="宋体"/>
              </w:rPr>
              <w:t>网络中性原理，</w:t>
            </w:r>
            <w:r>
              <w:t>掌握初步分析方法。</w:t>
            </w:r>
          </w:p>
          <w:p w:rsidR="00603CA0" w:rsidRDefault="00F15D55">
            <w:pPr>
              <w:pStyle w:val="BodyA"/>
              <w:ind w:left="360"/>
              <w:rPr>
                <w:rFonts w:hint="default"/>
              </w:rPr>
            </w:pPr>
            <w:r>
              <w:rPr>
                <w:rFonts w:ascii="宋体" w:eastAsia="宋体" w:hAnsi="宋体" w:cs="宋体"/>
              </w:rPr>
              <w:t>考试内容：</w:t>
            </w:r>
            <w:r>
              <w:rPr>
                <w:rFonts w:ascii="Times New Roman" w:hAnsi="Times New Roman"/>
              </w:rPr>
              <w:t xml:space="preserve"> </w:t>
            </w:r>
            <w:r>
              <w:rPr>
                <w:rFonts w:ascii="宋体" w:eastAsia="宋体" w:hAnsi="宋体" w:cs="宋体"/>
              </w:rPr>
              <w:t>共享</w:t>
            </w:r>
            <w:r>
              <w:t>资源博弈</w:t>
            </w:r>
            <w:r>
              <w:rPr>
                <w:rFonts w:ascii="宋体" w:eastAsia="宋体" w:hAnsi="宋体" w:cs="宋体"/>
              </w:rPr>
              <w:t>（</w:t>
            </w:r>
            <w:r>
              <w:rPr>
                <w:rFonts w:ascii="宋体" w:eastAsia="宋体" w:hAnsi="宋体" w:cs="宋体"/>
              </w:rPr>
              <w:t>5</w:t>
            </w:r>
            <w:r>
              <w:rPr>
                <w:rFonts w:ascii="宋体" w:eastAsia="宋体" w:hAnsi="宋体" w:cs="宋体"/>
              </w:rPr>
              <w:t>分）网络中性原理（</w:t>
            </w:r>
            <w:r>
              <w:rPr>
                <w:rFonts w:ascii="Times New Roman" w:hAnsi="Times New Roman"/>
              </w:rPr>
              <w:t>5</w:t>
            </w:r>
            <w:r>
              <w:rPr>
                <w:rFonts w:ascii="宋体" w:eastAsia="宋体" w:hAnsi="宋体" w:cs="宋体"/>
              </w:rPr>
              <w:t>分）</w:t>
            </w:r>
            <w:r>
              <w:t>初步</w:t>
            </w:r>
            <w:r>
              <w:rPr>
                <w:rFonts w:ascii="宋体" w:eastAsia="宋体" w:hAnsi="宋体" w:cs="宋体"/>
              </w:rPr>
              <w:t>分析方法。</w:t>
            </w:r>
          </w:p>
          <w:p w:rsidR="00603CA0" w:rsidRDefault="00F15D55">
            <w:pPr>
              <w:pStyle w:val="BodyA"/>
              <w:ind w:left="360"/>
              <w:rPr>
                <w:rFonts w:ascii="宋体" w:eastAsia="宋体" w:hAnsi="宋体" w:cs="宋体" w:hint="default"/>
              </w:rPr>
            </w:pPr>
            <w:r>
              <w:rPr>
                <w:rFonts w:ascii="宋体" w:eastAsia="宋体" w:hAnsi="宋体" w:cs="宋体"/>
              </w:rPr>
              <w:t>考试题型及比例：客观题（</w:t>
            </w:r>
            <w:r>
              <w:rPr>
                <w:rFonts w:ascii="宋体" w:eastAsia="宋体" w:hAnsi="宋体" w:cs="宋体"/>
              </w:rPr>
              <w:t>5</w:t>
            </w:r>
            <w:r>
              <w:rPr>
                <w:rFonts w:ascii="Times New Roman" w:hAnsi="Times New Roman"/>
              </w:rPr>
              <w:t>0%</w:t>
            </w:r>
            <w:r>
              <w:rPr>
                <w:rFonts w:ascii="宋体" w:eastAsia="宋体" w:hAnsi="宋体" w:cs="宋体"/>
              </w:rPr>
              <w:t>）主观题（</w:t>
            </w:r>
            <w:r>
              <w:rPr>
                <w:rFonts w:ascii="宋体" w:eastAsia="宋体" w:hAnsi="宋体" w:cs="宋体"/>
              </w:rPr>
              <w:t>5</w:t>
            </w:r>
            <w:r>
              <w:rPr>
                <w:rFonts w:ascii="Times New Roman" w:hAnsi="Times New Roman"/>
              </w:rPr>
              <w:t>0%</w:t>
            </w:r>
            <w:r>
              <w:rPr>
                <w:rFonts w:ascii="宋体" w:eastAsia="宋体" w:hAnsi="宋体" w:cs="宋体"/>
              </w:rPr>
              <w:t>）</w:t>
            </w:r>
          </w:p>
          <w:p w:rsidR="00603CA0" w:rsidRDefault="00F15D55">
            <w:pPr>
              <w:pStyle w:val="BodyA"/>
              <w:numPr>
                <w:ilvl w:val="0"/>
                <w:numId w:val="2"/>
              </w:numPr>
              <w:rPr>
                <w:rFonts w:ascii="Times New Roman" w:eastAsia="Times New Roman" w:hAnsi="Times New Roman" w:cs="Times New Roman" w:hint="default"/>
              </w:rPr>
            </w:pPr>
            <w:r>
              <w:rPr>
                <w:rFonts w:ascii="宋体" w:eastAsia="宋体" w:hAnsi="宋体" w:cs="宋体"/>
              </w:rPr>
              <w:t>不完全信息计算（</w:t>
            </w:r>
            <w:r>
              <w:rPr>
                <w:rFonts w:ascii="宋体" w:eastAsia="宋体" w:hAnsi="宋体" w:cs="宋体"/>
                <w:lang w:val="zh-CN" w:eastAsia="zh-CN"/>
              </w:rPr>
              <w:t>4-6</w:t>
            </w:r>
            <w:r>
              <w:rPr>
                <w:lang w:val="zh-CN" w:eastAsia="zh-CN"/>
              </w:rPr>
              <w:t>学时，</w:t>
            </w:r>
            <w:r>
              <w:rPr>
                <w:rFonts w:ascii="Times New Roman" w:hAnsi="Times New Roman"/>
              </w:rPr>
              <w:t>10</w:t>
            </w:r>
            <w:r>
              <w:rPr>
                <w:rFonts w:ascii="宋体" w:eastAsia="宋体" w:hAnsi="宋体" w:cs="宋体"/>
              </w:rPr>
              <w:t>分）</w:t>
            </w:r>
          </w:p>
          <w:p w:rsidR="00603CA0" w:rsidRDefault="00F15D55">
            <w:pPr>
              <w:pStyle w:val="BodyA"/>
              <w:ind w:left="360"/>
              <w:rPr>
                <w:rFonts w:hint="default"/>
              </w:rPr>
            </w:pPr>
            <w:r>
              <w:rPr>
                <w:rFonts w:ascii="宋体" w:eastAsia="宋体" w:hAnsi="宋体" w:cs="宋体"/>
              </w:rPr>
              <w:t>考试总体要求：理解有限理性基本概念、分析方法。</w:t>
            </w:r>
          </w:p>
          <w:p w:rsidR="00603CA0" w:rsidRDefault="00F15D55">
            <w:pPr>
              <w:pStyle w:val="BodyA"/>
              <w:ind w:left="360"/>
              <w:rPr>
                <w:rFonts w:hint="default"/>
              </w:rPr>
            </w:pPr>
            <w:r>
              <w:rPr>
                <w:rFonts w:ascii="宋体" w:eastAsia="宋体" w:hAnsi="宋体" w:cs="宋体"/>
              </w:rPr>
              <w:t>考试内容：</w:t>
            </w:r>
            <w:r>
              <w:rPr>
                <w:rFonts w:ascii="Times New Roman" w:hAnsi="Times New Roman"/>
                <w:lang w:val="it-IT"/>
              </w:rPr>
              <w:t xml:space="preserve"> PoA</w:t>
            </w:r>
            <w:r>
              <w:rPr>
                <w:rFonts w:ascii="宋体" w:eastAsia="宋体" w:hAnsi="宋体" w:cs="宋体"/>
              </w:rPr>
              <w:t>（</w:t>
            </w:r>
            <w:r>
              <w:rPr>
                <w:rFonts w:ascii="Times New Roman" w:hAnsi="Times New Roman"/>
              </w:rPr>
              <w:t>5</w:t>
            </w:r>
            <w:r>
              <w:rPr>
                <w:rFonts w:ascii="宋体" w:eastAsia="宋体" w:hAnsi="宋体" w:cs="宋体"/>
              </w:rPr>
              <w:t>分），激励比（</w:t>
            </w:r>
            <w:r>
              <w:rPr>
                <w:rFonts w:ascii="Times New Roman" w:hAnsi="Times New Roman"/>
              </w:rPr>
              <w:t>5</w:t>
            </w:r>
            <w:r>
              <w:rPr>
                <w:rFonts w:ascii="宋体" w:eastAsia="宋体" w:hAnsi="宋体" w:cs="宋体"/>
              </w:rPr>
              <w:t>分）以及的基本概念及分析方法。</w:t>
            </w:r>
          </w:p>
          <w:p w:rsidR="00603CA0" w:rsidRDefault="00F15D55">
            <w:pPr>
              <w:pStyle w:val="BodyA"/>
              <w:ind w:left="360"/>
              <w:rPr>
                <w:rFonts w:hint="default"/>
              </w:rPr>
            </w:pPr>
            <w:r>
              <w:rPr>
                <w:rFonts w:ascii="宋体" w:eastAsia="宋体" w:hAnsi="宋体" w:cs="宋体"/>
              </w:rPr>
              <w:t>考试题型及比例：客观题（</w:t>
            </w:r>
            <w:r>
              <w:rPr>
                <w:rFonts w:ascii="宋体" w:eastAsia="宋体" w:hAnsi="宋体" w:cs="宋体"/>
              </w:rPr>
              <w:t>5</w:t>
            </w:r>
            <w:r>
              <w:rPr>
                <w:rFonts w:ascii="Times New Roman" w:hAnsi="Times New Roman"/>
              </w:rPr>
              <w:t>0%</w:t>
            </w:r>
            <w:r>
              <w:rPr>
                <w:rFonts w:ascii="宋体" w:eastAsia="宋体" w:hAnsi="宋体" w:cs="宋体"/>
              </w:rPr>
              <w:t>）主观题（</w:t>
            </w:r>
            <w:r>
              <w:rPr>
                <w:rFonts w:ascii="宋体" w:eastAsia="宋体" w:hAnsi="宋体" w:cs="宋体"/>
              </w:rPr>
              <w:t>5</w:t>
            </w:r>
            <w:r>
              <w:rPr>
                <w:rFonts w:ascii="Times New Roman" w:hAnsi="Times New Roman"/>
              </w:rPr>
              <w:t>0%</w:t>
            </w:r>
            <w:r>
              <w:rPr>
                <w:rFonts w:ascii="宋体" w:eastAsia="宋体" w:hAnsi="宋体" w:cs="宋体"/>
              </w:rPr>
              <w:t>）</w:t>
            </w:r>
          </w:p>
          <w:p w:rsidR="00603CA0" w:rsidRDefault="00F15D55">
            <w:pPr>
              <w:pStyle w:val="BodyA"/>
              <w:numPr>
                <w:ilvl w:val="0"/>
                <w:numId w:val="2"/>
              </w:numPr>
              <w:rPr>
                <w:rFonts w:ascii="Times New Roman" w:eastAsia="Times New Roman" w:hAnsi="Times New Roman" w:cs="Times New Roman" w:hint="default"/>
              </w:rPr>
            </w:pPr>
            <w:r>
              <w:t>博弈数据分析原理</w:t>
            </w:r>
            <w:r>
              <w:rPr>
                <w:rFonts w:ascii="宋体" w:eastAsia="宋体" w:hAnsi="宋体" w:cs="宋体"/>
              </w:rPr>
              <w:t>（</w:t>
            </w:r>
            <w:r>
              <w:rPr>
                <w:rFonts w:ascii="宋体" w:eastAsia="宋体" w:hAnsi="宋体" w:cs="宋体"/>
                <w:lang w:val="zh-CN" w:eastAsia="zh-CN"/>
              </w:rPr>
              <w:t>4</w:t>
            </w:r>
            <w:r>
              <w:rPr>
                <w:lang w:val="zh-CN" w:eastAsia="zh-CN"/>
              </w:rPr>
              <w:t>学时，</w:t>
            </w:r>
            <w:r>
              <w:rPr>
                <w:rFonts w:ascii="宋体" w:eastAsia="宋体" w:hAnsi="宋体" w:cs="宋体"/>
              </w:rPr>
              <w:t>15</w:t>
            </w:r>
            <w:r>
              <w:rPr>
                <w:rFonts w:ascii="宋体" w:eastAsia="宋体" w:hAnsi="宋体" w:cs="宋体"/>
              </w:rPr>
              <w:t>分）</w:t>
            </w:r>
          </w:p>
          <w:p w:rsidR="00603CA0" w:rsidRDefault="00F15D55">
            <w:pPr>
              <w:pStyle w:val="BodyA"/>
              <w:ind w:left="360"/>
              <w:rPr>
                <w:rFonts w:hint="default"/>
              </w:rPr>
            </w:pPr>
            <w:r>
              <w:rPr>
                <w:rFonts w:ascii="宋体" w:eastAsia="宋体" w:hAnsi="宋体" w:cs="宋体"/>
              </w:rPr>
              <w:t>考试总体要求：理解</w:t>
            </w:r>
            <w:r>
              <w:t>互联网博弈数据产生原理，</w:t>
            </w:r>
            <w:r>
              <w:rPr>
                <w:rFonts w:ascii="宋体" w:eastAsia="宋体" w:hAnsi="宋体" w:cs="宋体"/>
              </w:rPr>
              <w:t>方法论和实用分析。</w:t>
            </w:r>
          </w:p>
          <w:p w:rsidR="00603CA0" w:rsidRDefault="00F15D55">
            <w:pPr>
              <w:pStyle w:val="BodyA"/>
              <w:ind w:left="360"/>
              <w:rPr>
                <w:rFonts w:hint="default"/>
              </w:rPr>
            </w:pPr>
            <w:r>
              <w:rPr>
                <w:rFonts w:ascii="宋体" w:eastAsia="宋体" w:hAnsi="宋体" w:cs="宋体"/>
              </w:rPr>
              <w:t>考试内容：</w:t>
            </w:r>
            <w:r>
              <w:rPr>
                <w:rFonts w:ascii="Times New Roman" w:hAnsi="Times New Roman"/>
              </w:rPr>
              <w:t xml:space="preserve"> </w:t>
            </w:r>
            <w:r>
              <w:rPr>
                <w:rFonts w:ascii="宋体" w:eastAsia="宋体" w:hAnsi="宋体" w:cs="宋体"/>
              </w:rPr>
              <w:t>理解并掌握有关</w:t>
            </w:r>
            <w:r>
              <w:t>数据众筹的激励分析</w:t>
            </w:r>
            <w:r>
              <w:rPr>
                <w:rFonts w:ascii="宋体" w:eastAsia="宋体" w:hAnsi="宋体" w:cs="宋体"/>
              </w:rPr>
              <w:t>（</w:t>
            </w:r>
            <w:r>
              <w:rPr>
                <w:rFonts w:ascii="宋体" w:eastAsia="宋体" w:hAnsi="宋体" w:cs="宋体"/>
              </w:rPr>
              <w:t>5</w:t>
            </w:r>
            <w:r>
              <w:rPr>
                <w:rFonts w:ascii="宋体" w:eastAsia="宋体" w:hAnsi="宋体" w:cs="宋体"/>
                <w:lang w:val="en-US"/>
              </w:rPr>
              <w:t>-</w:t>
            </w:r>
            <w:r>
              <w:rPr>
                <w:rFonts w:ascii="宋体" w:eastAsia="宋体" w:hAnsi="宋体" w:cs="宋体"/>
              </w:rPr>
              <w:t>10</w:t>
            </w:r>
            <w:r>
              <w:rPr>
                <w:rFonts w:ascii="宋体" w:eastAsia="宋体" w:hAnsi="宋体" w:cs="宋体"/>
              </w:rPr>
              <w:t>分）博弈学习（</w:t>
            </w:r>
            <w:r>
              <w:rPr>
                <w:rFonts w:ascii="宋体" w:eastAsia="宋体" w:hAnsi="宋体" w:cs="宋体"/>
              </w:rPr>
              <w:t>5</w:t>
            </w:r>
            <w:r>
              <w:rPr>
                <w:rFonts w:ascii="宋体" w:eastAsia="宋体" w:hAnsi="宋体" w:cs="宋体"/>
                <w:lang w:val="en-US"/>
              </w:rPr>
              <w:t>-</w:t>
            </w:r>
            <w:r>
              <w:rPr>
                <w:rFonts w:ascii="宋体" w:eastAsia="宋体" w:hAnsi="宋体" w:cs="宋体"/>
              </w:rPr>
              <w:t>10</w:t>
            </w:r>
            <w:r>
              <w:rPr>
                <w:rFonts w:ascii="宋体" w:eastAsia="宋体" w:hAnsi="宋体" w:cs="宋体"/>
              </w:rPr>
              <w:t>分。</w:t>
            </w:r>
          </w:p>
          <w:p w:rsidR="00603CA0" w:rsidRDefault="00F15D55">
            <w:pPr>
              <w:pStyle w:val="BodyA"/>
              <w:ind w:left="360"/>
              <w:rPr>
                <w:rFonts w:hint="default"/>
              </w:rPr>
            </w:pPr>
            <w:r>
              <w:rPr>
                <w:rFonts w:ascii="宋体" w:eastAsia="宋体" w:hAnsi="宋体" w:cs="宋体"/>
              </w:rPr>
              <w:t>考试题型及比例：客观题（</w:t>
            </w:r>
            <w:r>
              <w:rPr>
                <w:rFonts w:ascii="Times New Roman" w:hAnsi="Times New Roman"/>
                <w:lang w:val="pt-PT"/>
              </w:rPr>
              <w:t>30%</w:t>
            </w:r>
            <w:r>
              <w:rPr>
                <w:rFonts w:ascii="宋体" w:eastAsia="宋体" w:hAnsi="宋体" w:cs="宋体"/>
              </w:rPr>
              <w:t>）主观题（</w:t>
            </w:r>
            <w:r>
              <w:rPr>
                <w:rFonts w:ascii="Times New Roman" w:hAnsi="Times New Roman"/>
              </w:rPr>
              <w:t>70%</w:t>
            </w:r>
            <w:r>
              <w:rPr>
                <w:rFonts w:ascii="宋体" w:eastAsia="宋体" w:hAnsi="宋体" w:cs="宋体"/>
              </w:rPr>
              <w:t>）</w:t>
            </w:r>
          </w:p>
          <w:p w:rsidR="00603CA0" w:rsidRDefault="00F15D55">
            <w:pPr>
              <w:pStyle w:val="BodyA"/>
              <w:numPr>
                <w:ilvl w:val="0"/>
                <w:numId w:val="2"/>
              </w:numPr>
              <w:rPr>
                <w:rFonts w:ascii="Times New Roman" w:eastAsia="Times New Roman" w:hAnsi="Times New Roman" w:cs="Times New Roman" w:hint="default"/>
              </w:rPr>
            </w:pPr>
            <w:r>
              <w:rPr>
                <w:rFonts w:ascii="宋体" w:eastAsia="宋体" w:hAnsi="宋体" w:cs="宋体"/>
              </w:rPr>
              <w:t>独立解决互联网协议博弈分析能力（</w:t>
            </w:r>
            <w:r>
              <w:rPr>
                <w:rFonts w:ascii="宋体" w:eastAsia="宋体" w:hAnsi="宋体" w:cs="宋体"/>
                <w:lang w:val="zh-CN" w:eastAsia="zh-CN"/>
              </w:rPr>
              <w:t>4</w:t>
            </w:r>
            <w:r>
              <w:rPr>
                <w:lang w:val="zh-CN" w:eastAsia="zh-CN"/>
              </w:rPr>
              <w:t>学时，</w:t>
            </w:r>
            <w:r>
              <w:rPr>
                <w:rFonts w:ascii="Times New Roman" w:hAnsi="Times New Roman"/>
              </w:rPr>
              <w:t>10</w:t>
            </w:r>
            <w:r>
              <w:rPr>
                <w:rFonts w:ascii="宋体" w:eastAsia="宋体" w:hAnsi="宋体" w:cs="宋体"/>
              </w:rPr>
              <w:t>分）</w:t>
            </w:r>
          </w:p>
          <w:p w:rsidR="00603CA0" w:rsidRDefault="00F15D55">
            <w:pPr>
              <w:pStyle w:val="BodyA"/>
              <w:ind w:left="360"/>
              <w:rPr>
                <w:rFonts w:hint="default"/>
              </w:rPr>
            </w:pPr>
            <w:r>
              <w:rPr>
                <w:rFonts w:ascii="宋体" w:eastAsia="宋体" w:hAnsi="宋体" w:cs="宋体"/>
              </w:rPr>
              <w:t>考试总体要求：设计分析互联网多人协议的综合能力。</w:t>
            </w:r>
          </w:p>
          <w:p w:rsidR="00603CA0" w:rsidRDefault="00F15D55">
            <w:pPr>
              <w:pStyle w:val="BodyA"/>
              <w:ind w:left="360"/>
              <w:rPr>
                <w:rFonts w:hint="default"/>
              </w:rPr>
            </w:pPr>
            <w:r>
              <w:rPr>
                <w:rFonts w:ascii="宋体" w:eastAsia="宋体" w:hAnsi="宋体" w:cs="宋体"/>
              </w:rPr>
              <w:t>考试内容：博弈模型构建解答及分析（</w:t>
            </w:r>
            <w:r>
              <w:rPr>
                <w:rFonts w:ascii="Times New Roman" w:hAnsi="Times New Roman"/>
              </w:rPr>
              <w:t>10</w:t>
            </w:r>
            <w:r>
              <w:rPr>
                <w:rFonts w:ascii="宋体" w:eastAsia="宋体" w:hAnsi="宋体" w:cs="宋体"/>
              </w:rPr>
              <w:t>分）</w:t>
            </w:r>
          </w:p>
          <w:p w:rsidR="00603CA0" w:rsidRDefault="00F15D55">
            <w:pPr>
              <w:pStyle w:val="BodyA"/>
              <w:ind w:left="360"/>
              <w:rPr>
                <w:rFonts w:ascii="宋体" w:eastAsia="宋体" w:hAnsi="宋体" w:cs="宋体" w:hint="default"/>
              </w:rPr>
            </w:pPr>
            <w:r>
              <w:rPr>
                <w:rFonts w:ascii="宋体" w:eastAsia="宋体" w:hAnsi="宋体" w:cs="宋体"/>
              </w:rPr>
              <w:t>考试题型</w:t>
            </w:r>
            <w:r>
              <w:rPr>
                <w:lang w:val="zh-CN" w:eastAsia="zh-CN"/>
              </w:rPr>
              <w:t>及</w:t>
            </w:r>
            <w:r>
              <w:rPr>
                <w:rFonts w:ascii="宋体" w:eastAsia="宋体" w:hAnsi="宋体" w:cs="宋体"/>
              </w:rPr>
              <w:t>比例：</w:t>
            </w:r>
            <w:r>
              <w:rPr>
                <w:rFonts w:ascii="Times New Roman" w:hAnsi="Times New Roman"/>
              </w:rPr>
              <w:t xml:space="preserve"> </w:t>
            </w:r>
            <w:r>
              <w:rPr>
                <w:rFonts w:ascii="宋体" w:eastAsia="宋体" w:hAnsi="宋体" w:cs="宋体"/>
              </w:rPr>
              <w:t>主观题（</w:t>
            </w:r>
            <w:r>
              <w:rPr>
                <w:rFonts w:ascii="Times New Roman" w:hAnsi="Times New Roman"/>
                <w:lang w:val="en-US"/>
              </w:rPr>
              <w:t>100%</w:t>
            </w:r>
            <w:r>
              <w:rPr>
                <w:rFonts w:ascii="宋体" w:eastAsia="宋体" w:hAnsi="宋体" w:cs="宋体"/>
              </w:rPr>
              <w:t>）</w:t>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rPr>
                <w:rFonts w:ascii="宋体" w:eastAsia="宋体" w:hAnsi="宋体" w:cs="宋体"/>
                <w:lang w:val="zh-TW" w:eastAsia="zh-TW"/>
              </w:rPr>
            </w:pPr>
            <w:r>
              <w:rPr>
                <w:rFonts w:ascii="宋体" w:eastAsia="宋体" w:hAnsi="宋体" w:cs="宋体"/>
                <w:lang w:val="zh-TW" w:eastAsia="zh-TW"/>
              </w:rPr>
              <w:lastRenderedPageBreak/>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r>
              <w:rPr>
                <w:rFonts w:ascii="宋体" w:eastAsia="宋体" w:hAnsi="宋体" w:cs="宋体"/>
                <w:lang w:val="zh-TW" w:eastAsia="zh-TW"/>
              </w:rPr>
              <w:tab/>
            </w:r>
          </w:p>
          <w:p w:rsidR="00603CA0" w:rsidRDefault="00F15D55">
            <w:pPr>
              <w:jc w:val="center"/>
            </w:pPr>
            <w:r>
              <w:t>……</w:t>
            </w:r>
            <w:r>
              <w:tab/>
            </w:r>
            <w:r>
              <w:tab/>
            </w:r>
            <w:r>
              <w:tab/>
            </w:r>
            <w:r>
              <w:tab/>
            </w:r>
            <w:r>
              <w:tab/>
            </w:r>
          </w:p>
        </w:tc>
      </w:tr>
      <w:tr w:rsidR="00603CA0">
        <w:tblPrEx>
          <w:tblCellMar>
            <w:top w:w="0" w:type="dxa"/>
            <w:left w:w="0" w:type="dxa"/>
            <w:bottom w:w="0" w:type="dxa"/>
            <w:right w:w="0" w:type="dxa"/>
          </w:tblCellMar>
        </w:tblPrEx>
        <w:trPr>
          <w:trHeight w:val="722"/>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C00000"/>
                <w:u w:color="C00000"/>
              </w:rPr>
              <w:lastRenderedPageBreak/>
              <w:t>*</w:t>
            </w:r>
            <w:r>
              <w:rPr>
                <w:rFonts w:ascii="宋体" w:eastAsia="宋体" w:hAnsi="宋体" w:cs="宋体"/>
                <w:lang w:val="zh-TW" w:eastAsia="zh-TW"/>
              </w:rPr>
              <w:t>考核方式</w:t>
            </w:r>
          </w:p>
          <w:p w:rsidR="00603CA0" w:rsidRDefault="00F15D55">
            <w:pPr>
              <w:jc w:val="center"/>
            </w:pPr>
            <w:r>
              <w:t>(Grading)</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left"/>
            </w:pPr>
            <w:r>
              <w:rPr>
                <w:rFonts w:ascii="宋体" w:eastAsia="宋体" w:hAnsi="宋体" w:cs="宋体"/>
                <w:lang w:val="zh-TW" w:eastAsia="zh-TW"/>
              </w:rPr>
              <w:t>（成绩构成）</w:t>
            </w:r>
            <w:r>
              <w:rPr>
                <w:lang w:val="zh-CN"/>
              </w:rPr>
              <w:t>作业</w:t>
            </w:r>
            <w:r>
              <w:rPr>
                <w:lang w:val="zh-CN"/>
              </w:rPr>
              <w:t>10%</w:t>
            </w:r>
            <w:r>
              <w:rPr>
                <w:lang w:val="zh-CN"/>
              </w:rPr>
              <w:t>期中考试</w:t>
            </w:r>
            <w:r>
              <w:rPr>
                <w:lang w:val="zh-CN"/>
              </w:rPr>
              <w:t>20%</w:t>
            </w:r>
            <w:r>
              <w:rPr>
                <w:lang w:val="zh-CN"/>
              </w:rPr>
              <w:t>项目</w:t>
            </w:r>
            <w:r>
              <w:rPr>
                <w:lang w:val="zh-CN"/>
              </w:rPr>
              <w:t>20%</w:t>
            </w:r>
            <w:r>
              <w:rPr>
                <w:lang w:val="zh-CN"/>
              </w:rPr>
              <w:t>期末考试</w:t>
            </w:r>
            <w:r>
              <w:rPr>
                <w:lang w:val="zh-CN"/>
              </w:rPr>
              <w:t>50%</w:t>
            </w:r>
          </w:p>
        </w:tc>
      </w:tr>
      <w:tr w:rsidR="00603CA0">
        <w:tblPrEx>
          <w:tblCellMar>
            <w:top w:w="0" w:type="dxa"/>
            <w:left w:w="0" w:type="dxa"/>
            <w:bottom w:w="0" w:type="dxa"/>
            <w:right w:w="0" w:type="dxa"/>
          </w:tblCellMar>
        </w:tblPrEx>
        <w:trPr>
          <w:trHeight w:val="1448"/>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color w:val="C00000"/>
                <w:u w:color="C00000"/>
              </w:rPr>
              <w:t>*</w:t>
            </w:r>
            <w:r>
              <w:rPr>
                <w:rFonts w:ascii="宋体" w:eastAsia="宋体" w:hAnsi="宋体" w:cs="宋体"/>
                <w:lang w:val="zh-TW" w:eastAsia="zh-TW"/>
              </w:rPr>
              <w:t>教材或参考资料</w:t>
            </w:r>
          </w:p>
          <w:p w:rsidR="00603CA0" w:rsidRDefault="00F15D55">
            <w:pPr>
              <w:jc w:val="center"/>
            </w:pPr>
            <w:r>
              <w:t>(Textbooks &amp; Other Materials)</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pStyle w:val="BodyA"/>
              <w:numPr>
                <w:ilvl w:val="0"/>
                <w:numId w:val="3"/>
              </w:numPr>
              <w:rPr>
                <w:rFonts w:ascii="Times New Roman" w:hAnsi="Times New Roman" w:hint="default"/>
                <w:sz w:val="20"/>
                <w:szCs w:val="20"/>
              </w:rPr>
            </w:pPr>
            <w:r>
              <w:rPr>
                <w:rFonts w:ascii="Times" w:hAnsi="Times"/>
                <w:kern w:val="0"/>
                <w:sz w:val="20"/>
                <w:szCs w:val="20"/>
              </w:rPr>
              <w:t xml:space="preserve">Algorithmic Game Theory by Noam Nisan, Tim Roughgarden, Eva Tardos, Vijay V. Vazirani. Cambridge </w:t>
            </w:r>
            <w:r>
              <w:rPr>
                <w:rFonts w:ascii="Times" w:hAnsi="Times"/>
                <w:kern w:val="0"/>
                <w:sz w:val="20"/>
                <w:szCs w:val="20"/>
              </w:rPr>
              <w:t>University Press</w:t>
            </w:r>
          </w:p>
          <w:p w:rsidR="00603CA0" w:rsidRDefault="00F15D55">
            <w:pPr>
              <w:pStyle w:val="BodyA"/>
              <w:numPr>
                <w:ilvl w:val="0"/>
                <w:numId w:val="4"/>
              </w:numPr>
              <w:rPr>
                <w:rFonts w:eastAsia="Times New Roman" w:hint="default"/>
              </w:rPr>
            </w:pPr>
            <w:r>
              <w:rPr>
                <w:rFonts w:ascii="宋体" w:eastAsia="宋体" w:hAnsi="宋体" w:cs="宋体"/>
              </w:rPr>
              <w:t>其他阅读材料：近期内主要会议：</w:t>
            </w:r>
            <w:r>
              <w:rPr>
                <w:rFonts w:ascii="Times New Roman" w:hAnsi="Times New Roman"/>
                <w:lang w:val="de-DE"/>
              </w:rPr>
              <w:t>ACM EC</w:t>
            </w:r>
            <w:r>
              <w:rPr>
                <w:rFonts w:ascii="宋体" w:eastAsia="宋体" w:hAnsi="宋体" w:cs="宋体"/>
              </w:rPr>
              <w:t>，</w:t>
            </w:r>
            <w:r>
              <w:rPr>
                <w:rFonts w:ascii="Times New Roman" w:hAnsi="Times New Roman"/>
                <w:lang w:val="fr-FR"/>
              </w:rPr>
              <w:t xml:space="preserve"> SAGT</w:t>
            </w:r>
            <w:r>
              <w:rPr>
                <w:rFonts w:ascii="宋体" w:eastAsia="宋体" w:hAnsi="宋体" w:cs="宋体"/>
              </w:rPr>
              <w:t>，</w:t>
            </w:r>
            <w:r>
              <w:rPr>
                <w:rFonts w:ascii="Times New Roman" w:hAnsi="Times New Roman"/>
                <w:lang w:val="de-DE"/>
              </w:rPr>
              <w:t>WINE</w:t>
            </w:r>
            <w:r>
              <w:rPr>
                <w:rFonts w:ascii="宋体" w:eastAsia="宋体" w:hAnsi="宋体" w:cs="宋体"/>
              </w:rPr>
              <w:t>上发表的论文以及其他会议（如</w:t>
            </w:r>
            <w:r>
              <w:rPr>
                <w:rFonts w:ascii="Times New Roman" w:hAnsi="Times New Roman"/>
                <w:lang w:val="en-US"/>
              </w:rPr>
              <w:t>AAAI</w:t>
            </w:r>
            <w:r>
              <w:rPr>
                <w:rFonts w:ascii="宋体" w:eastAsia="宋体" w:hAnsi="宋体" w:cs="宋体"/>
              </w:rPr>
              <w:t>，</w:t>
            </w:r>
            <w:r>
              <w:rPr>
                <w:rFonts w:ascii="Times New Roman" w:hAnsi="Times New Roman"/>
              </w:rPr>
              <w:t>AAMAS</w:t>
            </w:r>
            <w:r>
              <w:rPr>
                <w:rFonts w:ascii="宋体" w:eastAsia="宋体" w:hAnsi="宋体" w:cs="宋体"/>
              </w:rPr>
              <w:t>，</w:t>
            </w:r>
            <w:r>
              <w:rPr>
                <w:rFonts w:ascii="Times New Roman" w:hAnsi="Times New Roman"/>
                <w:lang w:val="es-ES_tradnl"/>
              </w:rPr>
              <w:t>FOCS</w:t>
            </w:r>
            <w:r>
              <w:rPr>
                <w:rFonts w:ascii="宋体" w:eastAsia="宋体" w:hAnsi="宋体" w:cs="宋体"/>
              </w:rPr>
              <w:t>，</w:t>
            </w:r>
            <w:r>
              <w:rPr>
                <w:rFonts w:ascii="Times New Roman" w:hAnsi="Times New Roman"/>
              </w:rPr>
              <w:t>IJCAI</w:t>
            </w:r>
            <w:r>
              <w:rPr>
                <w:rFonts w:ascii="宋体" w:eastAsia="宋体" w:hAnsi="宋体" w:cs="宋体"/>
              </w:rPr>
              <w:t>，</w:t>
            </w:r>
            <w:r>
              <w:rPr>
                <w:rFonts w:ascii="Times New Roman" w:hAnsi="Times New Roman"/>
                <w:lang w:val="es-ES_tradnl"/>
              </w:rPr>
              <w:t>STOC</w:t>
            </w:r>
            <w:r>
              <w:rPr>
                <w:rFonts w:ascii="宋体" w:eastAsia="宋体" w:hAnsi="宋体" w:cs="宋体"/>
              </w:rPr>
              <w:t>）上的部分论文</w:t>
            </w:r>
          </w:p>
        </w:tc>
      </w:tr>
      <w:tr w:rsidR="00603CA0">
        <w:tblPrEx>
          <w:tblCellMar>
            <w:top w:w="0" w:type="dxa"/>
            <w:left w:w="0" w:type="dxa"/>
            <w:bottom w:w="0" w:type="dxa"/>
            <w:right w:w="0" w:type="dxa"/>
          </w:tblCellMar>
        </w:tblPrEx>
        <w:trPr>
          <w:trHeight w:val="618"/>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其它</w:t>
            </w:r>
          </w:p>
          <w:p w:rsidR="00603CA0" w:rsidRDefault="00F15D55">
            <w:pPr>
              <w:jc w:val="center"/>
            </w:pPr>
            <w:r>
              <w:rPr>
                <w:rFonts w:ascii="宋体" w:eastAsia="宋体" w:hAnsi="宋体" w:cs="宋体"/>
                <w:lang w:val="zh-TW" w:eastAsia="zh-TW"/>
              </w:rPr>
              <w:t>（</w:t>
            </w:r>
            <w:r>
              <w:t>More</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603CA0"/>
        </w:tc>
      </w:tr>
      <w:tr w:rsidR="00603CA0">
        <w:tblPrEx>
          <w:tblCellMar>
            <w:top w:w="0" w:type="dxa"/>
            <w:left w:w="0" w:type="dxa"/>
            <w:bottom w:w="0" w:type="dxa"/>
            <w:right w:w="0" w:type="dxa"/>
          </w:tblCellMar>
        </w:tblPrEx>
        <w:trPr>
          <w:trHeight w:val="618"/>
          <w:jc w:val="center"/>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F15D55">
            <w:pPr>
              <w:jc w:val="center"/>
            </w:pPr>
            <w:r>
              <w:rPr>
                <w:rFonts w:ascii="宋体" w:eastAsia="宋体" w:hAnsi="宋体" w:cs="宋体"/>
                <w:lang w:val="zh-TW" w:eastAsia="zh-TW"/>
              </w:rPr>
              <w:t>备注</w:t>
            </w:r>
          </w:p>
          <w:p w:rsidR="00603CA0" w:rsidRDefault="00F15D55">
            <w:pPr>
              <w:jc w:val="center"/>
            </w:pPr>
            <w:r>
              <w:rPr>
                <w:rFonts w:ascii="宋体" w:eastAsia="宋体" w:hAnsi="宋体" w:cs="宋体"/>
                <w:lang w:val="zh-TW" w:eastAsia="zh-TW"/>
              </w:rPr>
              <w:t>（</w:t>
            </w:r>
            <w:r>
              <w:t>Notes</w:t>
            </w:r>
            <w:r>
              <w:rPr>
                <w:rFonts w:ascii="宋体" w:eastAsia="宋体" w:hAnsi="宋体" w:cs="宋体"/>
                <w:lang w:val="zh-TW" w:eastAsia="zh-TW"/>
              </w:rPr>
              <w:t>）</w:t>
            </w:r>
          </w:p>
        </w:tc>
        <w:tc>
          <w:tcPr>
            <w:tcW w:w="62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CA0" w:rsidRDefault="00603CA0"/>
        </w:tc>
      </w:tr>
    </w:tbl>
    <w:p w:rsidR="00603CA0" w:rsidRDefault="00603CA0">
      <w:pPr>
        <w:jc w:val="center"/>
        <w:rPr>
          <w:sz w:val="32"/>
          <w:szCs w:val="32"/>
        </w:rPr>
      </w:pPr>
    </w:p>
    <w:p w:rsidR="00603CA0" w:rsidRDefault="00603CA0">
      <w:pPr>
        <w:widowControl/>
        <w:jc w:val="left"/>
      </w:pPr>
    </w:p>
    <w:p w:rsidR="00603CA0" w:rsidRDefault="00F15D55">
      <w:pPr>
        <w:spacing w:before="312"/>
        <w:jc w:val="left"/>
        <w:rPr>
          <w:lang w:val="zh-TW" w:eastAsia="zh-TW"/>
        </w:rPr>
      </w:pPr>
      <w:r>
        <w:rPr>
          <w:rFonts w:ascii="宋体" w:eastAsia="宋体" w:hAnsi="宋体" w:cs="宋体"/>
          <w:lang w:val="zh-TW" w:eastAsia="zh-TW"/>
        </w:rPr>
        <w:t>备注说明：</w:t>
      </w:r>
    </w:p>
    <w:p w:rsidR="00603CA0" w:rsidRDefault="00F15D55">
      <w:pPr>
        <w:spacing w:line="400" w:lineRule="exact"/>
        <w:ind w:firstLine="420"/>
      </w:pPr>
      <w:r>
        <w:t>1</w:t>
      </w:r>
      <w:r>
        <w:rPr>
          <w:rFonts w:ascii="宋体" w:eastAsia="宋体" w:hAnsi="宋体" w:cs="宋体"/>
          <w:lang w:val="zh-TW" w:eastAsia="zh-TW"/>
        </w:rPr>
        <w:t>．带</w:t>
      </w:r>
      <w:r>
        <w:t>*</w:t>
      </w:r>
      <w:r>
        <w:rPr>
          <w:rFonts w:ascii="宋体" w:eastAsia="宋体" w:hAnsi="宋体" w:cs="宋体"/>
          <w:lang w:val="zh-TW" w:eastAsia="zh-TW"/>
        </w:rPr>
        <w:t>内容为必填项。</w:t>
      </w:r>
    </w:p>
    <w:p w:rsidR="00603CA0" w:rsidRDefault="00F15D55">
      <w:pPr>
        <w:spacing w:line="400" w:lineRule="exact"/>
        <w:ind w:firstLine="420"/>
      </w:pPr>
      <w:r>
        <w:t>2</w:t>
      </w:r>
      <w:r>
        <w:rPr>
          <w:rFonts w:ascii="宋体" w:eastAsia="宋体" w:hAnsi="宋体" w:cs="宋体"/>
          <w:lang w:val="zh-TW" w:eastAsia="zh-TW"/>
        </w:rPr>
        <w:t>．课程简介字数为</w:t>
      </w:r>
      <w:r>
        <w:t>300-500</w:t>
      </w:r>
      <w:r>
        <w:rPr>
          <w:rFonts w:ascii="宋体" w:eastAsia="宋体" w:hAnsi="宋体" w:cs="宋体"/>
          <w:lang w:val="zh-TW" w:eastAsia="zh-TW"/>
        </w:rPr>
        <w:t>字；课程大纲以表述清楚教学安排为宜，字数不限。</w:t>
      </w:r>
    </w:p>
    <w:sectPr w:rsidR="00603CA0">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55" w:rsidRDefault="00F15D55">
      <w:r>
        <w:separator/>
      </w:r>
    </w:p>
  </w:endnote>
  <w:endnote w:type="continuationSeparator" w:id="0">
    <w:p w:rsidR="00F15D55" w:rsidRDefault="00F1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Kaiti SC Black">
    <w:altName w:val="Times New Roman"/>
    <w:charset w:val="00"/>
    <w:family w:val="roman"/>
    <w:pitch w:val="default"/>
  </w:font>
  <w:font w:name="Times">
    <w:panose1 w:val="02020603050405020304"/>
    <w:charset w:val="00"/>
    <w:family w:val="roman"/>
    <w:pitch w:val="default"/>
  </w:font>
  <w:font w:name="Microsoft Tai Le">
    <w:panose1 w:val="020B0502040204020203"/>
    <w:charset w:val="00"/>
    <w:family w:val="swiss"/>
    <w:pitch w:val="variable"/>
    <w:sig w:usb0="00000003" w:usb1="00000000" w:usb2="40000000" w:usb3="00000000" w:csb0="00000001" w:csb1="00000000"/>
  </w:font>
  <w:font w:name="Lucida Grand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0" w:rsidRDefault="00603C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55" w:rsidRDefault="00F15D55">
      <w:r>
        <w:separator/>
      </w:r>
    </w:p>
  </w:footnote>
  <w:footnote w:type="continuationSeparator" w:id="0">
    <w:p w:rsidR="00F15D55" w:rsidRDefault="00F1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0" w:rsidRDefault="00603C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F01"/>
    <w:multiLevelType w:val="hybridMultilevel"/>
    <w:tmpl w:val="CB16C52E"/>
    <w:lvl w:ilvl="0" w:tplc="00389F24">
      <w:start w:val="1"/>
      <w:numFmt w:val="bullet"/>
      <w:lvlText w:val="•"/>
      <w:lvlJc w:val="left"/>
      <w:pPr>
        <w:ind w:left="37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0CAD6">
      <w:start w:val="1"/>
      <w:numFmt w:val="bullet"/>
      <w:lvlText w:val="•"/>
      <w:lvlJc w:val="left"/>
      <w:pPr>
        <w:ind w:left="79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266E0FA">
      <w:start w:val="1"/>
      <w:numFmt w:val="bullet"/>
      <w:lvlText w:val="•"/>
      <w:lvlJc w:val="left"/>
      <w:pPr>
        <w:ind w:left="121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9825D0">
      <w:start w:val="1"/>
      <w:numFmt w:val="bullet"/>
      <w:lvlText w:val="•"/>
      <w:lvlJc w:val="left"/>
      <w:pPr>
        <w:ind w:left="163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B43FDE">
      <w:start w:val="1"/>
      <w:numFmt w:val="bullet"/>
      <w:lvlText w:val="•"/>
      <w:lvlJc w:val="left"/>
      <w:pPr>
        <w:ind w:left="205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DD836C6">
      <w:start w:val="1"/>
      <w:numFmt w:val="bullet"/>
      <w:lvlText w:val="•"/>
      <w:lvlJc w:val="left"/>
      <w:pPr>
        <w:ind w:left="247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B067748">
      <w:start w:val="1"/>
      <w:numFmt w:val="bullet"/>
      <w:lvlText w:val="•"/>
      <w:lvlJc w:val="left"/>
      <w:pPr>
        <w:ind w:left="289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644C8C">
      <w:start w:val="1"/>
      <w:numFmt w:val="bullet"/>
      <w:lvlText w:val="•"/>
      <w:lvlJc w:val="left"/>
      <w:pPr>
        <w:ind w:left="331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8420014">
      <w:start w:val="1"/>
      <w:numFmt w:val="bullet"/>
      <w:lvlText w:val="•"/>
      <w:lvlJc w:val="left"/>
      <w:pPr>
        <w:ind w:left="373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8C23E4"/>
    <w:multiLevelType w:val="multilevel"/>
    <w:tmpl w:val="6B588FF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7A1D74"/>
    <w:multiLevelType w:val="multilevel"/>
    <w:tmpl w:val="8E50FCE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 w:numId="4">
    <w:abstractNumId w:val="0"/>
    <w:lvlOverride w:ilvl="0">
      <w:lvl w:ilvl="0" w:tplc="00389F24">
        <w:start w:val="1"/>
        <w:numFmt w:val="bullet"/>
        <w:lvlText w:val="•"/>
        <w:lvlJc w:val="left"/>
        <w:pPr>
          <w:ind w:left="37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70CAD6">
        <w:start w:val="1"/>
        <w:numFmt w:val="bullet"/>
        <w:lvlText w:val="•"/>
        <w:lvlJc w:val="left"/>
        <w:pPr>
          <w:ind w:left="79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66E0FA">
        <w:start w:val="1"/>
        <w:numFmt w:val="bullet"/>
        <w:lvlText w:val="•"/>
        <w:lvlJc w:val="left"/>
        <w:pPr>
          <w:ind w:left="121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9825D0">
        <w:start w:val="1"/>
        <w:numFmt w:val="bullet"/>
        <w:lvlText w:val="•"/>
        <w:lvlJc w:val="left"/>
        <w:pPr>
          <w:ind w:left="163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B43FDE">
        <w:start w:val="1"/>
        <w:numFmt w:val="bullet"/>
        <w:lvlText w:val="•"/>
        <w:lvlJc w:val="left"/>
        <w:pPr>
          <w:ind w:left="205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D836C6">
        <w:start w:val="1"/>
        <w:numFmt w:val="bullet"/>
        <w:lvlText w:val="•"/>
        <w:lvlJc w:val="left"/>
        <w:pPr>
          <w:ind w:left="247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67748">
        <w:start w:val="1"/>
        <w:numFmt w:val="bullet"/>
        <w:lvlText w:val="•"/>
        <w:lvlJc w:val="left"/>
        <w:pPr>
          <w:ind w:left="289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644C8C">
        <w:start w:val="1"/>
        <w:numFmt w:val="bullet"/>
        <w:lvlText w:val="•"/>
        <w:lvlJc w:val="left"/>
        <w:pPr>
          <w:ind w:left="331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420014">
        <w:start w:val="1"/>
        <w:numFmt w:val="bullet"/>
        <w:lvlText w:val="•"/>
        <w:lvlJc w:val="left"/>
        <w:pPr>
          <w:ind w:left="373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A0"/>
    <w:rsid w:val="002313CB"/>
    <w:rsid w:val="00603CA0"/>
    <w:rsid w:val="00F1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9FAED-20E4-4C84-9393-69D35516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paragraph" w:styleId="1">
    <w:name w:val="heading 1"/>
    <w:pPr>
      <w:widowControl w:val="0"/>
      <w:jc w:val="both"/>
      <w:outlineLvl w:val="0"/>
    </w:pPr>
    <w:rPr>
      <w:rFonts w:ascii="Calibri" w:eastAsia="Calibri" w:hAnsi="Calibri" w:cs="Calibri"/>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BodyA">
    <w:name w:val="Body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Body">
    <w:name w:val="Body"/>
    <w:rPr>
      <w:rFonts w:ascii="Arial Unicode MS" w:eastAsia="Helvetica" w:hAnsi="Arial Unicode MS" w:cs="Arial Unicode MS" w:hint="eastAsia"/>
      <w:color w:val="000000"/>
      <w:sz w:val="22"/>
      <w:szCs w:val="2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Luo</dc:creator>
  <cp:lastModifiedBy>Qin Luo</cp:lastModifiedBy>
  <cp:revision>2</cp:revision>
  <dcterms:created xsi:type="dcterms:W3CDTF">2017-02-15T01:26:00Z</dcterms:created>
  <dcterms:modified xsi:type="dcterms:W3CDTF">2017-02-15T01:26:00Z</dcterms:modified>
</cp:coreProperties>
</file>