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F5" w:rsidRPr="001D0BF5" w:rsidRDefault="00B31765" w:rsidP="00686943">
      <w:pPr>
        <w:spacing w:afterLines="50" w:after="156"/>
        <w:jc w:val="center"/>
        <w:rPr>
          <w:b/>
          <w:sz w:val="32"/>
          <w:szCs w:val="32"/>
        </w:rPr>
      </w:pPr>
      <w:r>
        <w:rPr>
          <w:rFonts w:hint="eastAsia"/>
          <w:b/>
          <w:sz w:val="32"/>
          <w:szCs w:val="32"/>
        </w:rPr>
        <w:t>物理学引论</w:t>
      </w:r>
      <w:r>
        <w:rPr>
          <w:rFonts w:hint="eastAsia"/>
          <w:b/>
          <w:sz w:val="32"/>
          <w:szCs w:val="32"/>
        </w:rPr>
        <w:t>I</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227"/>
        <w:gridCol w:w="1265"/>
        <w:gridCol w:w="1515"/>
        <w:gridCol w:w="1409"/>
        <w:gridCol w:w="618"/>
        <w:gridCol w:w="1188"/>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2437CA" w:rsidRPr="00565461" w:rsidRDefault="002437CA" w:rsidP="00A724E5">
            <w:pPr>
              <w:rPr>
                <w:w w:val="90"/>
              </w:rPr>
            </w:pPr>
            <w:r>
              <w:rPr>
                <w:w w:val="90"/>
              </w:rPr>
              <w:t>PH116</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2437CA" w:rsidP="00A724E5">
            <w:pPr>
              <w:jc w:val="center"/>
            </w:pPr>
            <w:r>
              <w:t>96</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1F47C1" w:rsidRDefault="002437CA" w:rsidP="00A724E5">
            <w:r w:rsidRPr="001F47C1">
              <w:t>5</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1F47C1" w:rsidRDefault="00686943" w:rsidP="00686943">
            <w:pPr>
              <w:jc w:val="left"/>
            </w:pPr>
            <w:r w:rsidRPr="001F47C1">
              <w:rPr>
                <w:rFonts w:hint="eastAsia"/>
              </w:rPr>
              <w:t>（中文）</w:t>
            </w:r>
            <w:r w:rsidR="002437CA" w:rsidRPr="001F47C1">
              <w:rPr>
                <w:rFonts w:hint="eastAsia"/>
              </w:rPr>
              <w:t>物理学引论</w:t>
            </w:r>
            <w:r w:rsidR="002437CA" w:rsidRPr="001F47C1">
              <w:rPr>
                <w:rFonts w:hint="eastAsia"/>
              </w:rPr>
              <w:t>I</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1F47C1" w:rsidRDefault="00686943" w:rsidP="00686943">
            <w:pPr>
              <w:jc w:val="left"/>
            </w:pPr>
            <w:r w:rsidRPr="001F47C1">
              <w:rPr>
                <w:rFonts w:hint="eastAsia"/>
              </w:rPr>
              <w:t>（英文）</w:t>
            </w:r>
            <w:r w:rsidR="002437CA" w:rsidRPr="001F47C1">
              <w:rPr>
                <w:rFonts w:hint="eastAsia"/>
              </w:rPr>
              <w:t>Introduction</w:t>
            </w:r>
            <w:r w:rsidR="002437CA" w:rsidRPr="001F47C1">
              <w:t xml:space="preserve"> to Physics</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565461" w:rsidRDefault="002437CA" w:rsidP="001F47C1">
            <w:pPr>
              <w:jc w:val="left"/>
              <w:rPr>
                <w:color w:val="00B050"/>
              </w:rPr>
            </w:pPr>
            <w:r w:rsidRPr="001F47C1">
              <w:rPr>
                <w:rFonts w:hint="eastAsia"/>
              </w:rPr>
              <w:t>必修</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1D0BF5" w:rsidRDefault="002437CA" w:rsidP="00823ACC">
            <w:pPr>
              <w:jc w:val="left"/>
            </w:pPr>
            <w:r>
              <w:t>致远学院</w:t>
            </w:r>
            <w:r>
              <w:t>ACM</w:t>
            </w:r>
            <w:r>
              <w:t>班</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2437CA" w:rsidP="00823ACC">
            <w:pPr>
              <w:jc w:val="left"/>
            </w:pPr>
            <w:r>
              <w:t>中文</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2437CA" w:rsidP="001F47C1">
            <w:pPr>
              <w:jc w:val="left"/>
            </w:pPr>
            <w:r>
              <w:t>物理与天文系</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2437CA" w:rsidP="007C626D">
            <w:pPr>
              <w:jc w:val="left"/>
            </w:pPr>
            <w:r>
              <w:t>高等数学或数学分析</w:t>
            </w:r>
          </w:p>
        </w:tc>
      </w:tr>
      <w:tr w:rsidR="00827F05" w:rsidRPr="00827F05" w:rsidTr="00686943">
        <w:trPr>
          <w:gridAfter w:val="1"/>
          <w:wAfter w:w="10" w:type="dxa"/>
        </w:trPr>
        <w:tc>
          <w:tcPr>
            <w:tcW w:w="2406" w:type="dxa"/>
            <w:vAlign w:val="center"/>
          </w:tcPr>
          <w:p w:rsidR="001D0BF5" w:rsidRDefault="001D0BF5" w:rsidP="007C626D">
            <w:pPr>
              <w:jc w:val="center"/>
            </w:pPr>
            <w:bookmarkStart w:id="0" w:name="_GoBack" w:colFirst="3" w:colLast="4"/>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2437CA" w:rsidP="007C626D">
            <w:pPr>
              <w:jc w:val="center"/>
            </w:pPr>
            <w:r>
              <w:t>李晟</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827F05" w:rsidRDefault="002437CA" w:rsidP="007C626D">
            <w:pPr>
              <w:jc w:val="center"/>
            </w:pPr>
            <w:r w:rsidRPr="00827F05">
              <w:rPr>
                <w:rFonts w:hint="eastAsia"/>
              </w:rPr>
              <w:t>h</w:t>
            </w:r>
            <w:r w:rsidRPr="00827F05">
              <w:t>ttp://tpc.physics.sjtu.edu.cn</w:t>
            </w:r>
          </w:p>
        </w:tc>
      </w:tr>
      <w:bookmarkEnd w:id="0"/>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2437CA" w:rsidRPr="001F47C1" w:rsidRDefault="002437CA" w:rsidP="002437CA">
            <w:pPr>
              <w:ind w:firstLineChars="200" w:firstLine="420"/>
            </w:pPr>
            <w:r w:rsidRPr="001F47C1">
              <w:rPr>
                <w:rFonts w:hint="eastAsia"/>
              </w:rPr>
              <w:t>物理学是研究物质的基本结构、相互作用和物质运动最基本最普遍的形式</w:t>
            </w:r>
            <w:r w:rsidRPr="001F47C1">
              <w:rPr>
                <w:rFonts w:hint="eastAsia"/>
              </w:rPr>
              <w:t>(</w:t>
            </w:r>
            <w:r w:rsidRPr="001F47C1">
              <w:rPr>
                <w:rFonts w:hint="eastAsia"/>
              </w:rPr>
              <w:t>包括机械运动、热运动、电磁运动、微观粒子运动等</w:t>
            </w:r>
            <w:r w:rsidRPr="001F47C1">
              <w:rPr>
                <w:rFonts w:hint="eastAsia"/>
              </w:rPr>
              <w:t>)</w:t>
            </w:r>
            <w:r w:rsidRPr="001F47C1">
              <w:rPr>
                <w:rFonts w:hint="eastAsia"/>
              </w:rPr>
              <w:t>及其相互转化规律的科学。</w:t>
            </w:r>
          </w:p>
          <w:p w:rsidR="002437CA" w:rsidRPr="001F47C1" w:rsidRDefault="002437CA" w:rsidP="002437CA">
            <w:r w:rsidRPr="001F47C1">
              <w:rPr>
                <w:rFonts w:hint="eastAsia"/>
              </w:rPr>
              <w:t xml:space="preserve">  </w:t>
            </w:r>
            <w:r w:rsidRPr="001F47C1">
              <w:rPr>
                <w:rFonts w:hint="eastAsia"/>
              </w:rPr>
              <w:t>物理学的研究对象具有极大的普遍性，它的基本理论渗透在自然科学的一切领域，广泛地应用于生产技术的各个部门，它是自然科学和工程技术的基础。以物理学的基础知识为内容的《物理学引论》课程，它所包括的经典物理、近代物理及它们在科学技术上应用的初步知识等都是一个高级工程技术人员所必备的。</w:t>
            </w:r>
          </w:p>
          <w:p w:rsidR="002437CA" w:rsidRPr="001F47C1" w:rsidRDefault="002437CA" w:rsidP="002437CA">
            <w:pPr>
              <w:ind w:firstLineChars="200" w:firstLine="420"/>
            </w:pPr>
            <w:r w:rsidRPr="001F47C1">
              <w:rPr>
                <w:rFonts w:hint="eastAsia"/>
              </w:rPr>
              <w:t>《物理学引论》课程的作用，一方面在于为学生较系统地打好必要的物理基础，另一方面，使学生初步学习了科学的思想方法和研究问题的方法。这些都起着开阔思路、激发探求和创新精神、增强适应能力、提高人才素质的重要作用。学好本课程，不仅对学生在校的学习十分重要，而且学生毕业后的工作和进—</w:t>
            </w:r>
            <w:proofErr w:type="gramStart"/>
            <w:r w:rsidRPr="001F47C1">
              <w:rPr>
                <w:rFonts w:hint="eastAsia"/>
              </w:rPr>
              <w:t>步学习</w:t>
            </w:r>
            <w:proofErr w:type="gramEnd"/>
            <w:r w:rsidRPr="001F47C1">
              <w:rPr>
                <w:rFonts w:hint="eastAsia"/>
              </w:rPr>
              <w:t>新理论、新技术，不断更新知识，都将发生深远的影响。由于本课程是在低年级开设的，因而它在使学生树立正确的学习态度，掌握科学的学习方法，培养独立获取知识的能力，以尽快适应大学阶段的学习规律等方面也起着重要的作用。</w:t>
            </w:r>
          </w:p>
          <w:p w:rsidR="001D0BF5" w:rsidRPr="001F47C1" w:rsidRDefault="002437CA" w:rsidP="002437CA">
            <w:pPr>
              <w:ind w:firstLineChars="200" w:firstLine="420"/>
            </w:pPr>
            <w:r w:rsidRPr="001F47C1">
              <w:rPr>
                <w:rFonts w:hint="eastAsia"/>
              </w:rPr>
              <w:t>通过本课程的教学，应使学生对物理学所研究的各种运动形式以及它们之间联系，有比较全面和系统的认识；对本课程中的基本理论、基本知识和基本技能能够正确地理解，并具有初步应用的能力。在本课程的各个教学环节中，应注意对学生进行严肃的科学态度，严格的科学作风和科学思维方法的培养和训练，应重视对学生能力的培养。</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lastRenderedPageBreak/>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2437CA" w:rsidRPr="001F47C1" w:rsidRDefault="002437CA" w:rsidP="002437CA">
            <w:pPr>
              <w:ind w:firstLineChars="150" w:firstLine="315"/>
              <w:jc w:val="left"/>
            </w:pPr>
            <w:r w:rsidRPr="001F47C1">
              <w:t>Introduction to Physics is one of the basic courses for students who will be the scientists and engineers in future. It is designed for two semesters. Students will learn classical mechanics, electromagnetism, thermal physics, physical optics and modern physics systemically in one year. The mathematics of calculus is required. The goals of this course are to help the students to understand the fundamental physical laws and know how these laws can be applied to solve m</w:t>
            </w:r>
            <w:r w:rsidR="001F47C1">
              <w:t xml:space="preserve">any problems and how physics </w:t>
            </w:r>
            <w:proofErr w:type="spellStart"/>
            <w:r w:rsidR="001F47C1">
              <w:t>is</w:t>
            </w:r>
            <w:r w:rsidRPr="001F47C1">
              <w:t>relevant</w:t>
            </w:r>
            <w:proofErr w:type="spellEnd"/>
            <w:r w:rsidRPr="001F47C1">
              <w:t xml:space="preserve"> to modern applications in the world around them.</w:t>
            </w:r>
          </w:p>
          <w:p w:rsidR="002437CA" w:rsidRPr="001F47C1" w:rsidRDefault="002437CA" w:rsidP="002437CA">
            <w:pPr>
              <w:jc w:val="left"/>
            </w:pPr>
            <w:r w:rsidRPr="001F47C1">
              <w:t xml:space="preserve">   The approaches used to achieve these goals involve 1) Lectures: The difficult concepts are explained and discussed usually with the demonstrations and other multimedia teaching resources. 2) Homework and quizzes: Homework problems covering each week's material are designed to test students understanding of the concepts as well as developing problem-solving skills. 3) Online Q &amp;A: Students are encouraged to have active learning and creative thinking. </w:t>
            </w:r>
            <w:proofErr w:type="gramStart"/>
            <w:r w:rsidRPr="001F47C1">
              <w:t>4)Exams</w:t>
            </w:r>
            <w:proofErr w:type="gramEnd"/>
            <w:r w:rsidRPr="001F47C1">
              <w:t>: Students are required to summarize the material they have learned in the past half semester.</w:t>
            </w:r>
          </w:p>
          <w:p w:rsidR="001D0BF5" w:rsidRPr="001F47C1" w:rsidRDefault="002437CA" w:rsidP="002437CA">
            <w:pPr>
              <w:jc w:val="left"/>
            </w:pPr>
            <w:r w:rsidRPr="001F47C1">
              <w:t xml:space="preserve">     After taking this physics course students will have a solid foundation of physics and problem-solving skills and not only be able to understand most of the modern technology but also be able to actively contribute to it as scientists or engineers. Their ability of applying calculus is increased. These are important for their studying of the up-coming courses and for their future career.</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2437CA" w:rsidRDefault="002437CA" w:rsidP="002437CA">
            <w:r>
              <w:rPr>
                <w:rFonts w:hint="eastAsia"/>
              </w:rPr>
              <w:t>1</w:t>
            </w:r>
            <w:r>
              <w:rPr>
                <w:rFonts w:hint="eastAsia"/>
              </w:rPr>
              <w:t>．学习和理解物理学观察、分析和解决问题的思想方法，培养、提高学生的科学素质</w:t>
            </w:r>
            <w:r>
              <w:rPr>
                <w:rFonts w:hint="eastAsia"/>
              </w:rPr>
              <w:t>,</w:t>
            </w:r>
            <w:r>
              <w:rPr>
                <w:rFonts w:hint="eastAsia"/>
              </w:rPr>
              <w:t>激发对科学的求知欲望及创新精神。</w:t>
            </w:r>
          </w:p>
          <w:p w:rsidR="002437CA" w:rsidRDefault="002437CA" w:rsidP="002437CA">
            <w:r>
              <w:rPr>
                <w:rFonts w:hint="eastAsia"/>
              </w:rPr>
              <w:t>2</w:t>
            </w:r>
            <w:r>
              <w:rPr>
                <w:rFonts w:hint="eastAsia"/>
              </w:rPr>
              <w:t>．系统地掌握必要的物理学基础知识及其基本规律</w:t>
            </w:r>
            <w:r>
              <w:rPr>
                <w:rFonts w:hint="eastAsia"/>
              </w:rPr>
              <w:t>,</w:t>
            </w:r>
            <w:r>
              <w:rPr>
                <w:rFonts w:hint="eastAsia"/>
              </w:rPr>
              <w:t>能运用经典物理学的理论对力、热、电、磁、光等学科的基本问题作初步的解释、分析和处理。</w:t>
            </w:r>
          </w:p>
          <w:p w:rsidR="002437CA" w:rsidRDefault="002437CA" w:rsidP="002437CA">
            <w:r>
              <w:rPr>
                <w:rFonts w:hint="eastAsia"/>
              </w:rPr>
              <w:t>3</w:t>
            </w:r>
            <w:r>
              <w:rPr>
                <w:rFonts w:hint="eastAsia"/>
              </w:rPr>
              <w:t>．对物理学的基本概念、基本理论、基本方法能够有比较全面和系统的认识和正确的理解，将微积分知识具体地、灵活地应用于物理问题之中，培养学生分析、解决实际问题的能力，并为后继课程的学习作必要的知识准备。</w:t>
            </w:r>
          </w:p>
          <w:p w:rsidR="00A16565" w:rsidRPr="00A16565" w:rsidRDefault="002437CA" w:rsidP="002437CA">
            <w:r>
              <w:rPr>
                <w:rFonts w:hint="eastAsia"/>
              </w:rPr>
              <w:t xml:space="preserve">4. </w:t>
            </w:r>
            <w:r>
              <w:rPr>
                <w:rFonts w:hint="eastAsia"/>
              </w:rPr>
              <w:t>了解各种理想物理模型，并能够根据物理概念、问题的性质和需要，抓住主要因素，略去次要因素，对所研究的对象进行合理的简化。</w:t>
            </w:r>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00135619">
              <w:rPr>
                <w:rFonts w:hint="eastAsia"/>
              </w:rPr>
              <w:t xml:space="preserve"> </w:t>
            </w:r>
            <w:r w:rsidRPr="001D0BF5">
              <w:rPr>
                <w:rFonts w:hint="eastAsia"/>
              </w:rPr>
              <w:t xml:space="preserve">&amp;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0A548F" w:rsidTr="00784A11">
              <w:tc>
                <w:tcPr>
                  <w:tcW w:w="1456" w:type="dxa"/>
                </w:tcPr>
                <w:p w:rsidR="000A548F" w:rsidRPr="001D0BF5" w:rsidRDefault="000A548F" w:rsidP="007C626D">
                  <w:pPr>
                    <w:jc w:val="center"/>
                  </w:pPr>
                  <w:r w:rsidRPr="001D0BF5">
                    <w:rPr>
                      <w:rFonts w:hint="eastAsia"/>
                    </w:rPr>
                    <w:t>教学内容</w:t>
                  </w:r>
                </w:p>
              </w:tc>
              <w:tc>
                <w:tcPr>
                  <w:tcW w:w="816" w:type="dxa"/>
                </w:tcPr>
                <w:p w:rsidR="000A548F" w:rsidRPr="001D0BF5" w:rsidRDefault="000A548F" w:rsidP="007C626D">
                  <w:pPr>
                    <w:jc w:val="center"/>
                  </w:pPr>
                  <w:r w:rsidRPr="001D0BF5">
                    <w:rPr>
                      <w:rFonts w:hint="eastAsia"/>
                    </w:rPr>
                    <w:t>学时</w:t>
                  </w:r>
                </w:p>
              </w:tc>
              <w:tc>
                <w:tcPr>
                  <w:tcW w:w="1334"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B31765" w:rsidTr="00784A11">
              <w:trPr>
                <w:trHeight w:val="520"/>
              </w:trPr>
              <w:tc>
                <w:tcPr>
                  <w:tcW w:w="1456" w:type="dxa"/>
                  <w:vAlign w:val="center"/>
                </w:tcPr>
                <w:p w:rsidR="00B31765" w:rsidRPr="001D0BF5" w:rsidRDefault="00B31765" w:rsidP="00686943">
                  <w:pPr>
                    <w:jc w:val="center"/>
                  </w:pPr>
                  <w:r>
                    <w:t>概论</w:t>
                  </w:r>
                </w:p>
              </w:tc>
              <w:tc>
                <w:tcPr>
                  <w:tcW w:w="816" w:type="dxa"/>
                  <w:vAlign w:val="center"/>
                </w:tcPr>
                <w:p w:rsidR="00B31765" w:rsidRPr="001D0BF5" w:rsidRDefault="00B31765" w:rsidP="00686943">
                  <w:pPr>
                    <w:jc w:val="center"/>
                  </w:pPr>
                  <w:r>
                    <w:t>6</w:t>
                  </w:r>
                </w:p>
              </w:tc>
              <w:tc>
                <w:tcPr>
                  <w:tcW w:w="1334" w:type="dxa"/>
                  <w:vMerge w:val="restart"/>
                  <w:vAlign w:val="center"/>
                </w:tcPr>
                <w:p w:rsidR="00B31765" w:rsidRPr="001D0BF5" w:rsidRDefault="00B31765" w:rsidP="00686943">
                  <w:pPr>
                    <w:jc w:val="center"/>
                  </w:pPr>
                  <w:r>
                    <w:rPr>
                      <w:rFonts w:hint="eastAsia"/>
                    </w:rPr>
                    <w:t>课堂教学</w:t>
                  </w:r>
                </w:p>
              </w:tc>
              <w:tc>
                <w:tcPr>
                  <w:tcW w:w="1355" w:type="dxa"/>
                  <w:vMerge w:val="restart"/>
                  <w:vAlign w:val="center"/>
                </w:tcPr>
                <w:p w:rsidR="00B31765" w:rsidRPr="001D0BF5" w:rsidRDefault="00B31765" w:rsidP="00686943">
                  <w:pPr>
                    <w:jc w:val="center"/>
                  </w:pPr>
                  <w:r>
                    <w:t>每周十道题左右，另外有两次大作业以及网上讨论</w:t>
                  </w:r>
                </w:p>
              </w:tc>
              <w:tc>
                <w:tcPr>
                  <w:tcW w:w="1146" w:type="dxa"/>
                  <w:vMerge w:val="restart"/>
                  <w:vAlign w:val="center"/>
                </w:tcPr>
                <w:p w:rsidR="00B31765" w:rsidRPr="001D0BF5" w:rsidRDefault="00B31765" w:rsidP="00531C6E"/>
              </w:tc>
              <w:tc>
                <w:tcPr>
                  <w:tcW w:w="1162" w:type="dxa"/>
                  <w:vMerge w:val="restart"/>
                  <w:vAlign w:val="center"/>
                </w:tcPr>
                <w:p w:rsidR="00B31765" w:rsidRDefault="00B31765" w:rsidP="00686943">
                  <w:pPr>
                    <w:jc w:val="center"/>
                  </w:pPr>
                </w:p>
                <w:p w:rsidR="00B31765" w:rsidRPr="001D0BF5" w:rsidRDefault="00B31765" w:rsidP="00B31765"/>
              </w:tc>
            </w:tr>
            <w:tr w:rsidR="00B31765" w:rsidTr="00784A11">
              <w:trPr>
                <w:trHeight w:val="555"/>
              </w:trPr>
              <w:tc>
                <w:tcPr>
                  <w:tcW w:w="1456" w:type="dxa"/>
                  <w:vAlign w:val="center"/>
                </w:tcPr>
                <w:p w:rsidR="00B31765" w:rsidRPr="001D0BF5" w:rsidRDefault="00B31765" w:rsidP="00686943">
                  <w:pPr>
                    <w:jc w:val="center"/>
                  </w:pPr>
                  <w:r w:rsidRPr="00B10797">
                    <w:rPr>
                      <w:rFonts w:hint="eastAsia"/>
                    </w:rPr>
                    <w:t>物理量与测量长度、时间、参照系、物理量、单位制、量纲</w:t>
                  </w:r>
                </w:p>
              </w:tc>
              <w:tc>
                <w:tcPr>
                  <w:tcW w:w="816" w:type="dxa"/>
                  <w:vAlign w:val="center"/>
                </w:tcPr>
                <w:p w:rsidR="00B31765" w:rsidRPr="001D0BF5" w:rsidRDefault="00B31765" w:rsidP="00686943">
                  <w:pPr>
                    <w:jc w:val="center"/>
                  </w:pPr>
                  <w:r>
                    <w:t>6</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B31765" w:rsidRDefault="00B31765" w:rsidP="00B31765"/>
              </w:tc>
            </w:tr>
            <w:tr w:rsidR="00B31765" w:rsidTr="00784A11">
              <w:trPr>
                <w:trHeight w:val="561"/>
              </w:trPr>
              <w:tc>
                <w:tcPr>
                  <w:tcW w:w="1456" w:type="dxa"/>
                  <w:vAlign w:val="center"/>
                </w:tcPr>
                <w:p w:rsidR="00B31765" w:rsidRPr="001D0BF5" w:rsidRDefault="00B31765" w:rsidP="00686943">
                  <w:pPr>
                    <w:jc w:val="center"/>
                  </w:pPr>
                  <w:r>
                    <w:t>运动学</w:t>
                  </w:r>
                </w:p>
              </w:tc>
              <w:tc>
                <w:tcPr>
                  <w:tcW w:w="816" w:type="dxa"/>
                  <w:vAlign w:val="center"/>
                </w:tcPr>
                <w:p w:rsidR="00B31765" w:rsidRPr="001D0BF5" w:rsidRDefault="00B31765" w:rsidP="00686943">
                  <w:pPr>
                    <w:jc w:val="center"/>
                  </w:pPr>
                  <w:r>
                    <w:t>6</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54"/>
              </w:trPr>
              <w:tc>
                <w:tcPr>
                  <w:tcW w:w="1456" w:type="dxa"/>
                  <w:vAlign w:val="center"/>
                </w:tcPr>
                <w:p w:rsidR="00B31765" w:rsidRPr="001D0BF5" w:rsidRDefault="00B31765" w:rsidP="00B10797">
                  <w:pPr>
                    <w:jc w:val="center"/>
                  </w:pPr>
                  <w:r>
                    <w:rPr>
                      <w:rFonts w:hint="eastAsia"/>
                    </w:rPr>
                    <w:t>相对性原理与参照系</w:t>
                  </w:r>
                </w:p>
              </w:tc>
              <w:tc>
                <w:tcPr>
                  <w:tcW w:w="816" w:type="dxa"/>
                  <w:vAlign w:val="center"/>
                </w:tcPr>
                <w:p w:rsidR="00B31765" w:rsidRPr="001D0BF5" w:rsidRDefault="00B31765" w:rsidP="00686943">
                  <w:pPr>
                    <w:jc w:val="center"/>
                  </w:pPr>
                  <w:r>
                    <w:t>2</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48"/>
              </w:trPr>
              <w:tc>
                <w:tcPr>
                  <w:tcW w:w="1456" w:type="dxa"/>
                  <w:vAlign w:val="center"/>
                </w:tcPr>
                <w:p w:rsidR="00B31765" w:rsidRPr="001D0BF5" w:rsidRDefault="00B31765" w:rsidP="00B10797">
                  <w:pPr>
                    <w:jc w:val="center"/>
                  </w:pPr>
                  <w:r>
                    <w:rPr>
                      <w:rFonts w:hint="eastAsia"/>
                    </w:rPr>
                    <w:t>惯性、动量和力</w:t>
                  </w:r>
                </w:p>
              </w:tc>
              <w:tc>
                <w:tcPr>
                  <w:tcW w:w="816" w:type="dxa"/>
                  <w:vAlign w:val="center"/>
                </w:tcPr>
                <w:p w:rsidR="00B31765" w:rsidRPr="001D0BF5" w:rsidRDefault="00B31765" w:rsidP="00686943">
                  <w:pPr>
                    <w:jc w:val="center"/>
                  </w:pPr>
                  <w:r>
                    <w:t>2</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70"/>
              </w:trPr>
              <w:tc>
                <w:tcPr>
                  <w:tcW w:w="1456" w:type="dxa"/>
                  <w:vAlign w:val="center"/>
                </w:tcPr>
                <w:p w:rsidR="00B31765" w:rsidRPr="001D0BF5" w:rsidRDefault="00B31765" w:rsidP="00686943">
                  <w:pPr>
                    <w:jc w:val="center"/>
                  </w:pPr>
                  <w:r>
                    <w:rPr>
                      <w:rFonts w:hint="eastAsia"/>
                    </w:rPr>
                    <w:lastRenderedPageBreak/>
                    <w:t>牛顿定律及其应用</w:t>
                  </w:r>
                </w:p>
              </w:tc>
              <w:tc>
                <w:tcPr>
                  <w:tcW w:w="816" w:type="dxa"/>
                  <w:vAlign w:val="center"/>
                </w:tcPr>
                <w:p w:rsidR="00B31765" w:rsidRPr="001D0BF5" w:rsidRDefault="00B31765" w:rsidP="00686943">
                  <w:pPr>
                    <w:jc w:val="center"/>
                  </w:pPr>
                  <w:r>
                    <w:t>6</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2C6824">
                  <w:pPr>
                    <w:jc w:val="center"/>
                  </w:pPr>
                </w:p>
              </w:tc>
            </w:tr>
            <w:tr w:rsidR="00B31765" w:rsidTr="00784A11">
              <w:trPr>
                <w:trHeight w:val="550"/>
              </w:trPr>
              <w:tc>
                <w:tcPr>
                  <w:tcW w:w="1456" w:type="dxa"/>
                  <w:vAlign w:val="center"/>
                </w:tcPr>
                <w:p w:rsidR="00B31765" w:rsidRDefault="00B31765" w:rsidP="00B10797">
                  <w:pPr>
                    <w:jc w:val="center"/>
                  </w:pPr>
                  <w:r>
                    <w:rPr>
                      <w:rFonts w:hint="eastAsia"/>
                    </w:rPr>
                    <w:t>功与能量</w:t>
                  </w:r>
                </w:p>
                <w:p w:rsidR="00B31765" w:rsidRDefault="00B31765" w:rsidP="00B10797">
                  <w:pPr>
                    <w:jc w:val="center"/>
                  </w:pPr>
                  <w:r>
                    <w:rPr>
                      <w:rFonts w:hint="eastAsia"/>
                    </w:rPr>
                    <w:t>势能、保守力</w:t>
                  </w:r>
                </w:p>
                <w:p w:rsidR="00B31765" w:rsidRPr="001D0BF5" w:rsidRDefault="00B31765" w:rsidP="00B10797">
                  <w:pPr>
                    <w:jc w:val="center"/>
                  </w:pPr>
                  <w:r>
                    <w:rPr>
                      <w:rFonts w:hint="eastAsia"/>
                    </w:rPr>
                    <w:t>能量守恒</w:t>
                  </w:r>
                </w:p>
              </w:tc>
              <w:tc>
                <w:tcPr>
                  <w:tcW w:w="816" w:type="dxa"/>
                  <w:vAlign w:val="center"/>
                </w:tcPr>
                <w:p w:rsidR="00B31765" w:rsidRPr="001D0BF5" w:rsidRDefault="00B31765" w:rsidP="00686943">
                  <w:pPr>
                    <w:jc w:val="center"/>
                  </w:pPr>
                  <w:r>
                    <w:t>8</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58"/>
              </w:trPr>
              <w:tc>
                <w:tcPr>
                  <w:tcW w:w="1456" w:type="dxa"/>
                  <w:vAlign w:val="center"/>
                </w:tcPr>
                <w:p w:rsidR="00B31765" w:rsidRPr="001D0BF5" w:rsidRDefault="00B31765" w:rsidP="00686943">
                  <w:pPr>
                    <w:jc w:val="center"/>
                  </w:pPr>
                  <w:r w:rsidRPr="00B10797">
                    <w:rPr>
                      <w:rFonts w:hint="eastAsia"/>
                    </w:rPr>
                    <w:t>质点系与动量守恒</w:t>
                  </w:r>
                </w:p>
              </w:tc>
              <w:tc>
                <w:tcPr>
                  <w:tcW w:w="816" w:type="dxa"/>
                  <w:vAlign w:val="center"/>
                </w:tcPr>
                <w:p w:rsidR="00B31765" w:rsidRPr="001D0BF5" w:rsidRDefault="00B31765" w:rsidP="00686943">
                  <w:pPr>
                    <w:jc w:val="center"/>
                  </w:pPr>
                  <w:r>
                    <w:t>2</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8C502A">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52"/>
              </w:trPr>
              <w:tc>
                <w:tcPr>
                  <w:tcW w:w="1456" w:type="dxa"/>
                  <w:vAlign w:val="center"/>
                </w:tcPr>
                <w:p w:rsidR="00B31765" w:rsidRPr="001D0BF5" w:rsidRDefault="00B31765" w:rsidP="00686943">
                  <w:pPr>
                    <w:jc w:val="center"/>
                  </w:pPr>
                  <w:r w:rsidRPr="00B10797">
                    <w:rPr>
                      <w:rFonts w:hint="eastAsia"/>
                    </w:rPr>
                    <w:t>碰撞</w:t>
                  </w:r>
                </w:p>
              </w:tc>
              <w:tc>
                <w:tcPr>
                  <w:tcW w:w="816" w:type="dxa"/>
                  <w:vAlign w:val="center"/>
                </w:tcPr>
                <w:p w:rsidR="00B31765" w:rsidRPr="001D0BF5" w:rsidRDefault="00B31765" w:rsidP="00686943">
                  <w:pPr>
                    <w:jc w:val="center"/>
                  </w:pPr>
                  <w:r>
                    <w:t>2</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60"/>
              </w:trPr>
              <w:tc>
                <w:tcPr>
                  <w:tcW w:w="1456" w:type="dxa"/>
                  <w:vAlign w:val="center"/>
                </w:tcPr>
                <w:p w:rsidR="00B31765" w:rsidRPr="001D0BF5" w:rsidRDefault="00B31765" w:rsidP="00B10797">
                  <w:pPr>
                    <w:jc w:val="center"/>
                  </w:pPr>
                  <w:r>
                    <w:rPr>
                      <w:rFonts w:hint="eastAsia"/>
                    </w:rPr>
                    <w:t>转动、转动惯量、角动量、力矩与角动量守恒</w:t>
                  </w:r>
                </w:p>
              </w:tc>
              <w:tc>
                <w:tcPr>
                  <w:tcW w:w="816" w:type="dxa"/>
                  <w:vAlign w:val="center"/>
                </w:tcPr>
                <w:p w:rsidR="00B31765" w:rsidRPr="001D0BF5" w:rsidRDefault="00B31765" w:rsidP="00686943">
                  <w:pPr>
                    <w:jc w:val="center"/>
                  </w:pPr>
                  <w:r>
                    <w:t>6</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68"/>
              </w:trPr>
              <w:tc>
                <w:tcPr>
                  <w:tcW w:w="1456" w:type="dxa"/>
                  <w:vAlign w:val="center"/>
                </w:tcPr>
                <w:p w:rsidR="00B31765" w:rsidRPr="001D0BF5" w:rsidRDefault="00B31765" w:rsidP="00686943">
                  <w:pPr>
                    <w:jc w:val="center"/>
                  </w:pPr>
                  <w:r>
                    <w:t>平衡</w:t>
                  </w:r>
                </w:p>
              </w:tc>
              <w:tc>
                <w:tcPr>
                  <w:tcW w:w="816" w:type="dxa"/>
                  <w:vAlign w:val="center"/>
                </w:tcPr>
                <w:p w:rsidR="00B31765" w:rsidRPr="001D0BF5" w:rsidRDefault="00B31765" w:rsidP="00686943">
                  <w:pPr>
                    <w:jc w:val="center"/>
                  </w:pPr>
                  <w:r>
                    <w:t>2</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68"/>
              </w:trPr>
              <w:tc>
                <w:tcPr>
                  <w:tcW w:w="1456" w:type="dxa"/>
                  <w:vAlign w:val="center"/>
                </w:tcPr>
                <w:p w:rsidR="00B31765" w:rsidRPr="001D0BF5" w:rsidRDefault="00B31765" w:rsidP="00686943">
                  <w:pPr>
                    <w:jc w:val="center"/>
                  </w:pPr>
                  <w:r>
                    <w:t>万有引力</w:t>
                  </w:r>
                </w:p>
              </w:tc>
              <w:tc>
                <w:tcPr>
                  <w:tcW w:w="816" w:type="dxa"/>
                  <w:vAlign w:val="center"/>
                </w:tcPr>
                <w:p w:rsidR="00B31765" w:rsidRPr="001D0BF5" w:rsidRDefault="00B31765" w:rsidP="00686943">
                  <w:pPr>
                    <w:jc w:val="center"/>
                  </w:pPr>
                  <w:r>
                    <w:t>2</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68"/>
              </w:trPr>
              <w:tc>
                <w:tcPr>
                  <w:tcW w:w="1456" w:type="dxa"/>
                  <w:vAlign w:val="center"/>
                </w:tcPr>
                <w:p w:rsidR="00B31765" w:rsidRPr="001D0BF5" w:rsidRDefault="00B31765" w:rsidP="00686943">
                  <w:pPr>
                    <w:jc w:val="center"/>
                  </w:pPr>
                  <w:r>
                    <w:t>流体</w:t>
                  </w:r>
                </w:p>
              </w:tc>
              <w:tc>
                <w:tcPr>
                  <w:tcW w:w="816" w:type="dxa"/>
                  <w:vAlign w:val="center"/>
                </w:tcPr>
                <w:p w:rsidR="00B31765" w:rsidRPr="001D0BF5" w:rsidRDefault="00B31765" w:rsidP="00686943">
                  <w:pPr>
                    <w:jc w:val="center"/>
                  </w:pPr>
                  <w:r>
                    <w:t>6</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restart"/>
                  <w:vAlign w:val="center"/>
                </w:tcPr>
                <w:p w:rsidR="00B31765" w:rsidRPr="001D0BF5" w:rsidRDefault="00B31765" w:rsidP="00686943">
                  <w:pPr>
                    <w:jc w:val="center"/>
                  </w:pPr>
                </w:p>
              </w:tc>
            </w:tr>
            <w:tr w:rsidR="00B31765" w:rsidTr="00784A11">
              <w:trPr>
                <w:trHeight w:val="568"/>
              </w:trPr>
              <w:tc>
                <w:tcPr>
                  <w:tcW w:w="1456" w:type="dxa"/>
                  <w:vAlign w:val="center"/>
                </w:tcPr>
                <w:p w:rsidR="00B31765" w:rsidRPr="001D0BF5" w:rsidRDefault="00B31765" w:rsidP="00686943">
                  <w:pPr>
                    <w:jc w:val="center"/>
                  </w:pPr>
                  <w:r>
                    <w:t>振动与波</w:t>
                  </w:r>
                </w:p>
              </w:tc>
              <w:tc>
                <w:tcPr>
                  <w:tcW w:w="816" w:type="dxa"/>
                  <w:vAlign w:val="center"/>
                </w:tcPr>
                <w:p w:rsidR="00B31765" w:rsidRPr="001D0BF5" w:rsidRDefault="00B31765" w:rsidP="00686943">
                  <w:pPr>
                    <w:jc w:val="center"/>
                  </w:pPr>
                  <w:r>
                    <w:t>12</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68"/>
              </w:trPr>
              <w:tc>
                <w:tcPr>
                  <w:tcW w:w="1456" w:type="dxa"/>
                  <w:vAlign w:val="center"/>
                </w:tcPr>
                <w:p w:rsidR="00B31765" w:rsidRPr="001D0BF5" w:rsidRDefault="00B31765" w:rsidP="00531C6E">
                  <w:pPr>
                    <w:jc w:val="center"/>
                  </w:pPr>
                  <w:r>
                    <w:rPr>
                      <w:rFonts w:hint="eastAsia"/>
                    </w:rPr>
                    <w:t>温度与热、物态</w:t>
                  </w:r>
                </w:p>
              </w:tc>
              <w:tc>
                <w:tcPr>
                  <w:tcW w:w="816" w:type="dxa"/>
                  <w:vAlign w:val="center"/>
                </w:tcPr>
                <w:p w:rsidR="00B31765" w:rsidRPr="001D0BF5" w:rsidRDefault="00B31765" w:rsidP="00686943">
                  <w:pPr>
                    <w:jc w:val="center"/>
                  </w:pPr>
                  <w:r>
                    <w:t>6</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68"/>
              </w:trPr>
              <w:tc>
                <w:tcPr>
                  <w:tcW w:w="1456" w:type="dxa"/>
                  <w:vAlign w:val="center"/>
                </w:tcPr>
                <w:p w:rsidR="00B31765" w:rsidRPr="001D0BF5" w:rsidRDefault="00B31765" w:rsidP="00686943">
                  <w:pPr>
                    <w:jc w:val="center"/>
                  </w:pPr>
                  <w:r>
                    <w:t>热力学第一定律</w:t>
                  </w:r>
                </w:p>
              </w:tc>
              <w:tc>
                <w:tcPr>
                  <w:tcW w:w="816" w:type="dxa"/>
                  <w:vAlign w:val="center"/>
                </w:tcPr>
                <w:p w:rsidR="00B31765" w:rsidRPr="001D0BF5" w:rsidRDefault="00B31765" w:rsidP="00686943">
                  <w:pPr>
                    <w:jc w:val="center"/>
                  </w:pPr>
                  <w:r>
                    <w:t>2</w:t>
                  </w:r>
                </w:p>
              </w:tc>
              <w:tc>
                <w:tcPr>
                  <w:tcW w:w="1334" w:type="dxa"/>
                  <w:vMerge/>
                  <w:vAlign w:val="center"/>
                </w:tcPr>
                <w:p w:rsidR="00B31765" w:rsidRPr="001D0BF5" w:rsidRDefault="00B31765" w:rsidP="00686943">
                  <w:pPr>
                    <w:jc w:val="center"/>
                  </w:pPr>
                </w:p>
              </w:tc>
              <w:tc>
                <w:tcPr>
                  <w:tcW w:w="1355" w:type="dxa"/>
                  <w:vMerge/>
                  <w:vAlign w:val="center"/>
                </w:tcPr>
                <w:p w:rsidR="00B31765" w:rsidRPr="001D0BF5" w:rsidRDefault="00B31765" w:rsidP="00686943">
                  <w:pPr>
                    <w:jc w:val="center"/>
                  </w:pPr>
                </w:p>
              </w:tc>
              <w:tc>
                <w:tcPr>
                  <w:tcW w:w="1146" w:type="dxa"/>
                  <w:vMerge/>
                  <w:vAlign w:val="center"/>
                </w:tcPr>
                <w:p w:rsidR="00B31765" w:rsidRPr="001D0BF5" w:rsidRDefault="00B31765" w:rsidP="00686943">
                  <w:pPr>
                    <w:jc w:val="center"/>
                  </w:pPr>
                </w:p>
              </w:tc>
              <w:tc>
                <w:tcPr>
                  <w:tcW w:w="1162" w:type="dxa"/>
                  <w:vMerge/>
                  <w:vAlign w:val="center"/>
                </w:tcPr>
                <w:p w:rsidR="00B31765" w:rsidRPr="001D0BF5" w:rsidRDefault="00B31765" w:rsidP="00686943">
                  <w:pPr>
                    <w:jc w:val="center"/>
                  </w:pPr>
                </w:p>
              </w:tc>
            </w:tr>
            <w:tr w:rsidR="00B31765" w:rsidTr="00784A11">
              <w:trPr>
                <w:trHeight w:val="568"/>
              </w:trPr>
              <w:tc>
                <w:tcPr>
                  <w:tcW w:w="1456" w:type="dxa"/>
                  <w:vAlign w:val="center"/>
                </w:tcPr>
                <w:p w:rsidR="00B31765" w:rsidRPr="001D0BF5" w:rsidRDefault="00B31765" w:rsidP="00531C6E">
                  <w:pPr>
                    <w:jc w:val="center"/>
                  </w:pPr>
                  <w:r>
                    <w:t>分子运动论</w:t>
                  </w:r>
                </w:p>
              </w:tc>
              <w:tc>
                <w:tcPr>
                  <w:tcW w:w="816" w:type="dxa"/>
                  <w:vAlign w:val="center"/>
                </w:tcPr>
                <w:p w:rsidR="00B31765" w:rsidRPr="001D0BF5" w:rsidRDefault="00B31765" w:rsidP="00531C6E">
                  <w:pPr>
                    <w:jc w:val="center"/>
                  </w:pPr>
                  <w:r>
                    <w:t>6</w:t>
                  </w:r>
                </w:p>
              </w:tc>
              <w:tc>
                <w:tcPr>
                  <w:tcW w:w="1334" w:type="dxa"/>
                  <w:vMerge/>
                  <w:vAlign w:val="center"/>
                </w:tcPr>
                <w:p w:rsidR="00B31765" w:rsidRPr="001D0BF5" w:rsidRDefault="00B31765" w:rsidP="00531C6E">
                  <w:pPr>
                    <w:jc w:val="center"/>
                  </w:pPr>
                </w:p>
              </w:tc>
              <w:tc>
                <w:tcPr>
                  <w:tcW w:w="1355" w:type="dxa"/>
                  <w:vMerge/>
                  <w:vAlign w:val="center"/>
                </w:tcPr>
                <w:p w:rsidR="00B31765" w:rsidRPr="001D0BF5" w:rsidRDefault="00B31765" w:rsidP="00531C6E">
                  <w:pPr>
                    <w:jc w:val="center"/>
                  </w:pPr>
                </w:p>
              </w:tc>
              <w:tc>
                <w:tcPr>
                  <w:tcW w:w="1146" w:type="dxa"/>
                  <w:vMerge/>
                  <w:vAlign w:val="center"/>
                </w:tcPr>
                <w:p w:rsidR="00B31765" w:rsidRPr="001D0BF5" w:rsidRDefault="00B31765" w:rsidP="00531C6E">
                  <w:pPr>
                    <w:jc w:val="center"/>
                  </w:pPr>
                </w:p>
              </w:tc>
              <w:tc>
                <w:tcPr>
                  <w:tcW w:w="1162" w:type="dxa"/>
                  <w:vMerge/>
                  <w:vAlign w:val="center"/>
                </w:tcPr>
                <w:p w:rsidR="00B31765" w:rsidRPr="001D0BF5" w:rsidRDefault="00B31765" w:rsidP="00531C6E">
                  <w:pPr>
                    <w:jc w:val="center"/>
                  </w:pPr>
                </w:p>
              </w:tc>
            </w:tr>
            <w:tr w:rsidR="00B31765" w:rsidTr="00784A11">
              <w:trPr>
                <w:trHeight w:val="568"/>
              </w:trPr>
              <w:tc>
                <w:tcPr>
                  <w:tcW w:w="1456" w:type="dxa"/>
                  <w:vAlign w:val="center"/>
                </w:tcPr>
                <w:p w:rsidR="00B31765" w:rsidRDefault="00B31765" w:rsidP="00531C6E">
                  <w:pPr>
                    <w:jc w:val="center"/>
                  </w:pPr>
                  <w:r>
                    <w:t>热力学第二定律与熵</w:t>
                  </w:r>
                </w:p>
              </w:tc>
              <w:tc>
                <w:tcPr>
                  <w:tcW w:w="816" w:type="dxa"/>
                  <w:vAlign w:val="center"/>
                </w:tcPr>
                <w:p w:rsidR="00B31765" w:rsidRDefault="00B31765" w:rsidP="00531C6E">
                  <w:pPr>
                    <w:jc w:val="center"/>
                  </w:pPr>
                  <w:r>
                    <w:t>6</w:t>
                  </w:r>
                </w:p>
              </w:tc>
              <w:tc>
                <w:tcPr>
                  <w:tcW w:w="1334" w:type="dxa"/>
                  <w:vMerge/>
                  <w:vAlign w:val="center"/>
                </w:tcPr>
                <w:p w:rsidR="00B31765" w:rsidRPr="001D0BF5" w:rsidRDefault="00B31765" w:rsidP="00531C6E">
                  <w:pPr>
                    <w:jc w:val="center"/>
                  </w:pPr>
                </w:p>
              </w:tc>
              <w:tc>
                <w:tcPr>
                  <w:tcW w:w="1355" w:type="dxa"/>
                  <w:vMerge/>
                  <w:vAlign w:val="center"/>
                </w:tcPr>
                <w:p w:rsidR="00B31765" w:rsidRPr="001D0BF5" w:rsidRDefault="00B31765" w:rsidP="00531C6E">
                  <w:pPr>
                    <w:jc w:val="center"/>
                  </w:pPr>
                </w:p>
              </w:tc>
              <w:tc>
                <w:tcPr>
                  <w:tcW w:w="1146" w:type="dxa"/>
                  <w:vMerge/>
                  <w:vAlign w:val="center"/>
                </w:tcPr>
                <w:p w:rsidR="00B31765" w:rsidRPr="001D0BF5" w:rsidRDefault="00B31765" w:rsidP="00531C6E">
                  <w:pPr>
                    <w:jc w:val="center"/>
                  </w:pPr>
                </w:p>
              </w:tc>
              <w:tc>
                <w:tcPr>
                  <w:tcW w:w="1162" w:type="dxa"/>
                  <w:vMerge/>
                  <w:vAlign w:val="center"/>
                </w:tcPr>
                <w:p w:rsidR="00B31765" w:rsidRPr="001D0BF5" w:rsidRDefault="00B31765" w:rsidP="00531C6E">
                  <w:pPr>
                    <w:jc w:val="center"/>
                  </w:pPr>
                </w:p>
              </w:tc>
            </w:tr>
          </w:tbl>
          <w:p w:rsidR="000A548F" w:rsidRDefault="000A548F" w:rsidP="007C626D"/>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1F47C1" w:rsidRPr="00827F05" w:rsidRDefault="001F47C1" w:rsidP="001F47C1">
            <w:pPr>
              <w:jc w:val="left"/>
            </w:pPr>
            <w:r w:rsidRPr="00827F05">
              <w:rPr>
                <w:rFonts w:hint="eastAsia"/>
              </w:rPr>
              <w:t>网络讨论</w:t>
            </w:r>
            <w:r w:rsidRPr="00827F05">
              <w:rPr>
                <w:rFonts w:hint="eastAsia"/>
              </w:rPr>
              <w:t>5%</w:t>
            </w:r>
          </w:p>
          <w:p w:rsidR="001F47C1" w:rsidRPr="00827F05" w:rsidRDefault="001F47C1" w:rsidP="001F47C1">
            <w:pPr>
              <w:jc w:val="left"/>
            </w:pPr>
            <w:r w:rsidRPr="00827F05">
              <w:rPr>
                <w:rFonts w:hint="eastAsia"/>
              </w:rPr>
              <w:t>网络课程</w:t>
            </w:r>
            <w:r w:rsidRPr="00827F05">
              <w:rPr>
                <w:rFonts w:hint="eastAsia"/>
              </w:rPr>
              <w:t>10%</w:t>
            </w:r>
          </w:p>
          <w:p w:rsidR="001F47C1" w:rsidRPr="00827F05" w:rsidRDefault="001F47C1" w:rsidP="001F47C1">
            <w:pPr>
              <w:jc w:val="left"/>
            </w:pPr>
            <w:proofErr w:type="gramStart"/>
            <w:r w:rsidRPr="00827F05">
              <w:rPr>
                <w:rFonts w:hint="eastAsia"/>
              </w:rPr>
              <w:t>作业占</w:t>
            </w:r>
            <w:proofErr w:type="gramEnd"/>
            <w:r w:rsidRPr="00827F05">
              <w:rPr>
                <w:rFonts w:hint="eastAsia"/>
              </w:rPr>
              <w:t>10%</w:t>
            </w:r>
          </w:p>
          <w:p w:rsidR="001F47C1" w:rsidRPr="00827F05" w:rsidRDefault="001F47C1" w:rsidP="001F47C1">
            <w:pPr>
              <w:jc w:val="left"/>
            </w:pPr>
            <w:r w:rsidRPr="00827F05">
              <w:rPr>
                <w:rFonts w:hint="eastAsia"/>
              </w:rPr>
              <w:t>大</w:t>
            </w:r>
            <w:proofErr w:type="gramStart"/>
            <w:r w:rsidRPr="00827F05">
              <w:rPr>
                <w:rFonts w:hint="eastAsia"/>
              </w:rPr>
              <w:t>作业占</w:t>
            </w:r>
            <w:proofErr w:type="gramEnd"/>
            <w:r w:rsidRPr="00827F05">
              <w:rPr>
                <w:rFonts w:hint="eastAsia"/>
              </w:rPr>
              <w:t>15%</w:t>
            </w:r>
          </w:p>
          <w:p w:rsidR="001F47C1" w:rsidRPr="00827F05" w:rsidRDefault="001F47C1" w:rsidP="001F47C1">
            <w:pPr>
              <w:jc w:val="left"/>
            </w:pPr>
            <w:r w:rsidRPr="00827F05">
              <w:t>三次大</w:t>
            </w:r>
            <w:proofErr w:type="gramStart"/>
            <w:r w:rsidRPr="00827F05">
              <w:rPr>
                <w:rFonts w:hint="eastAsia"/>
              </w:rPr>
              <w:t>测验占</w:t>
            </w:r>
            <w:proofErr w:type="gramEnd"/>
            <w:r w:rsidRPr="00827F05">
              <w:rPr>
                <w:rFonts w:hint="eastAsia"/>
              </w:rPr>
              <w:t>15%x3=45%</w:t>
            </w:r>
          </w:p>
          <w:p w:rsidR="000A548F" w:rsidRPr="00827F05" w:rsidRDefault="001F47C1" w:rsidP="001F47C1">
            <w:pPr>
              <w:jc w:val="left"/>
            </w:pPr>
            <w:r w:rsidRPr="00827F05">
              <w:t>Quiz 10%</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1F47C1" w:rsidRPr="00827F05" w:rsidRDefault="001F47C1" w:rsidP="001F47C1">
            <w:pPr>
              <w:jc w:val="left"/>
            </w:pPr>
            <w:r w:rsidRPr="00827F05">
              <w:rPr>
                <w:rFonts w:hint="eastAsia"/>
              </w:rPr>
              <w:t>Physics for Scientists and Engineers</w:t>
            </w:r>
            <w:r w:rsidRPr="00827F05">
              <w:rPr>
                <w:rFonts w:hint="eastAsia"/>
              </w:rPr>
              <w:t>，</w:t>
            </w:r>
            <w:r w:rsidRPr="00827F05">
              <w:rPr>
                <w:rFonts w:hint="eastAsia"/>
              </w:rPr>
              <w:t xml:space="preserve">Douglas C. </w:t>
            </w:r>
            <w:proofErr w:type="spellStart"/>
            <w:r w:rsidRPr="00827F05">
              <w:rPr>
                <w:rFonts w:hint="eastAsia"/>
              </w:rPr>
              <w:t>Giancoli</w:t>
            </w:r>
            <w:proofErr w:type="spellEnd"/>
            <w:r w:rsidRPr="00827F05">
              <w:rPr>
                <w:rFonts w:hint="eastAsia"/>
              </w:rPr>
              <w:t xml:space="preserve"> </w:t>
            </w:r>
          </w:p>
          <w:p w:rsidR="001F47C1" w:rsidRPr="00827F05" w:rsidRDefault="001F47C1" w:rsidP="001F47C1">
            <w:pPr>
              <w:jc w:val="left"/>
            </w:pPr>
            <w:r w:rsidRPr="00827F05">
              <w:rPr>
                <w:rFonts w:hint="eastAsia"/>
              </w:rPr>
              <w:t>《费曼物理学讲义》</w:t>
            </w:r>
          </w:p>
          <w:p w:rsidR="001F47C1" w:rsidRPr="00827F05" w:rsidRDefault="001F47C1" w:rsidP="001F47C1">
            <w:pPr>
              <w:jc w:val="left"/>
            </w:pPr>
            <w:r w:rsidRPr="00827F05">
              <w:rPr>
                <w:rFonts w:hint="eastAsia"/>
              </w:rPr>
              <w:t>《大学物理学》卢德馨</w:t>
            </w:r>
          </w:p>
          <w:p w:rsidR="000A548F" w:rsidRPr="00827F05" w:rsidRDefault="001F47C1" w:rsidP="001F47C1">
            <w:pPr>
              <w:jc w:val="left"/>
            </w:pPr>
            <w:r w:rsidRPr="00827F05">
              <w:rPr>
                <w:rFonts w:hint="eastAsia"/>
              </w:rPr>
              <w:t>《新概念物理学》赵凯华等</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lastRenderedPageBreak/>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565461">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91C" w:rsidRDefault="0023191C" w:rsidP="00577ECF">
      <w:r>
        <w:separator/>
      </w:r>
    </w:p>
  </w:endnote>
  <w:endnote w:type="continuationSeparator" w:id="0">
    <w:p w:rsidR="0023191C" w:rsidRDefault="0023191C"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altName w:val="Courier New"/>
    <w:charset w:val="00"/>
    <w:family w:val="auto"/>
    <w:pitch w:val="default"/>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91C" w:rsidRDefault="0023191C" w:rsidP="00577ECF">
      <w:r>
        <w:separator/>
      </w:r>
    </w:p>
  </w:footnote>
  <w:footnote w:type="continuationSeparator" w:id="0">
    <w:p w:rsidR="0023191C" w:rsidRDefault="0023191C"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52DE"/>
    <w:rsid w:val="00160181"/>
    <w:rsid w:val="00181BE7"/>
    <w:rsid w:val="001A4FE4"/>
    <w:rsid w:val="001C7AD8"/>
    <w:rsid w:val="001D0BF5"/>
    <w:rsid w:val="001E73FD"/>
    <w:rsid w:val="001F47C1"/>
    <w:rsid w:val="00207DEF"/>
    <w:rsid w:val="00227A34"/>
    <w:rsid w:val="0023191C"/>
    <w:rsid w:val="002437CA"/>
    <w:rsid w:val="0026026C"/>
    <w:rsid w:val="0026569D"/>
    <w:rsid w:val="0027360E"/>
    <w:rsid w:val="0028182B"/>
    <w:rsid w:val="0028463A"/>
    <w:rsid w:val="002A157D"/>
    <w:rsid w:val="002A6549"/>
    <w:rsid w:val="002A7980"/>
    <w:rsid w:val="002B6537"/>
    <w:rsid w:val="003036D4"/>
    <w:rsid w:val="003237D3"/>
    <w:rsid w:val="00341CDD"/>
    <w:rsid w:val="00366702"/>
    <w:rsid w:val="003715C0"/>
    <w:rsid w:val="00377008"/>
    <w:rsid w:val="003948E3"/>
    <w:rsid w:val="00395246"/>
    <w:rsid w:val="0039570D"/>
    <w:rsid w:val="003C4422"/>
    <w:rsid w:val="003D10F5"/>
    <w:rsid w:val="003E65CC"/>
    <w:rsid w:val="00446816"/>
    <w:rsid w:val="00461685"/>
    <w:rsid w:val="00474457"/>
    <w:rsid w:val="00487AD7"/>
    <w:rsid w:val="004921CE"/>
    <w:rsid w:val="004D4153"/>
    <w:rsid w:val="004D62C4"/>
    <w:rsid w:val="004E283B"/>
    <w:rsid w:val="005031D5"/>
    <w:rsid w:val="00511D50"/>
    <w:rsid w:val="00520B0A"/>
    <w:rsid w:val="00531C6E"/>
    <w:rsid w:val="00565461"/>
    <w:rsid w:val="00577467"/>
    <w:rsid w:val="00577ECF"/>
    <w:rsid w:val="005B52BE"/>
    <w:rsid w:val="005F49AB"/>
    <w:rsid w:val="0061590F"/>
    <w:rsid w:val="00656964"/>
    <w:rsid w:val="00663B60"/>
    <w:rsid w:val="00686943"/>
    <w:rsid w:val="006A13AE"/>
    <w:rsid w:val="006D3645"/>
    <w:rsid w:val="006F1849"/>
    <w:rsid w:val="006F49C1"/>
    <w:rsid w:val="00705456"/>
    <w:rsid w:val="00707583"/>
    <w:rsid w:val="0074127F"/>
    <w:rsid w:val="00784A11"/>
    <w:rsid w:val="00795728"/>
    <w:rsid w:val="00795F2D"/>
    <w:rsid w:val="007A19E1"/>
    <w:rsid w:val="007D4099"/>
    <w:rsid w:val="007E4B77"/>
    <w:rsid w:val="008158EA"/>
    <w:rsid w:val="00823ACC"/>
    <w:rsid w:val="00825C1B"/>
    <w:rsid w:val="00827F05"/>
    <w:rsid w:val="00857453"/>
    <w:rsid w:val="00890F38"/>
    <w:rsid w:val="008954B7"/>
    <w:rsid w:val="008A7203"/>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C2014"/>
    <w:rsid w:val="009E73FA"/>
    <w:rsid w:val="00A16565"/>
    <w:rsid w:val="00A3078F"/>
    <w:rsid w:val="00A37564"/>
    <w:rsid w:val="00A54CA9"/>
    <w:rsid w:val="00A61B1F"/>
    <w:rsid w:val="00A960D0"/>
    <w:rsid w:val="00AC1B9C"/>
    <w:rsid w:val="00AC5156"/>
    <w:rsid w:val="00AD0114"/>
    <w:rsid w:val="00AD3765"/>
    <w:rsid w:val="00AD7DBD"/>
    <w:rsid w:val="00AD7E02"/>
    <w:rsid w:val="00AE6C69"/>
    <w:rsid w:val="00B05FFC"/>
    <w:rsid w:val="00B10595"/>
    <w:rsid w:val="00B10797"/>
    <w:rsid w:val="00B20254"/>
    <w:rsid w:val="00B31765"/>
    <w:rsid w:val="00B328AD"/>
    <w:rsid w:val="00B41900"/>
    <w:rsid w:val="00B4432F"/>
    <w:rsid w:val="00B74383"/>
    <w:rsid w:val="00B970D8"/>
    <w:rsid w:val="00BE022B"/>
    <w:rsid w:val="00C040DE"/>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746B7"/>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AAB3-47CE-4612-A3ED-6F3C594B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SLI</cp:lastModifiedBy>
  <cp:revision>24</cp:revision>
  <cp:lastPrinted>2014-04-28T01:34:00Z</cp:lastPrinted>
  <dcterms:created xsi:type="dcterms:W3CDTF">2014-07-21T01:35:00Z</dcterms:created>
  <dcterms:modified xsi:type="dcterms:W3CDTF">2016-03-03T02:34:00Z</dcterms:modified>
</cp:coreProperties>
</file>